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1"/>
        <w:spacing w:after="280" w:before="0" w:line="240" w:lineRule="auto"/>
        <w:ind/>
        <w:jc w:val="right"/>
        <w:rPr>
          <w:b w:val="0"/>
          <w:color w:val="302709"/>
          <w:sz w:val="22"/>
        </w:rPr>
      </w:pPr>
      <w:r>
        <w:rPr>
          <w:b w:val="0"/>
          <w:color w:val="302709"/>
          <w:sz w:val="24"/>
        </w:rPr>
        <w:t>Приложение 1 к приказу</w:t>
      </w:r>
    </w:p>
    <w:p w14:paraId="04000000">
      <w:pPr>
        <w:pStyle w:val="Style_2"/>
        <w:widowControl w:val="1"/>
        <w:spacing w:after="280" w:before="280" w:line="240" w:lineRule="auto"/>
        <w:ind/>
        <w:jc w:val="right"/>
        <w:rPr>
          <w:sz w:val="22"/>
        </w:rPr>
      </w:pPr>
      <w:r>
        <w:rPr>
          <w:sz w:val="22"/>
        </w:rPr>
        <w:t xml:space="preserve">Министерства труда и социального развития </w:t>
      </w:r>
    </w:p>
    <w:p w14:paraId="05000000">
      <w:pPr>
        <w:pStyle w:val="Style_2"/>
        <w:widowControl w:val="1"/>
        <w:spacing w:after="280" w:before="280" w:line="240" w:lineRule="auto"/>
        <w:ind/>
        <w:jc w:val="right"/>
        <w:rPr>
          <w:sz w:val="22"/>
        </w:rPr>
      </w:pPr>
      <w:r>
        <w:rPr>
          <w:sz w:val="22"/>
        </w:rPr>
        <w:t>Республики Саха (Якутия)</w:t>
      </w:r>
    </w:p>
    <w:p w14:paraId="06000000">
      <w:pPr>
        <w:pStyle w:val="Style_2"/>
        <w:widowControl w:val="1"/>
        <w:spacing w:after="280" w:before="280" w:line="240" w:lineRule="auto"/>
        <w:ind/>
        <w:jc w:val="right"/>
        <w:rPr>
          <w:sz w:val="22"/>
        </w:rPr>
      </w:pPr>
      <w:r>
        <w:rPr>
          <w:sz w:val="22"/>
        </w:rPr>
        <w:t>от 05.08.2025 №1110-од</w:t>
      </w:r>
    </w:p>
    <w:p w14:paraId="07000000">
      <w:pPr>
        <w:pStyle w:val="Style_3"/>
        <w:widowControl w:val="1"/>
        <w:spacing w:after="280" w:before="0" w:line="240" w:lineRule="auto"/>
        <w:ind/>
        <w:jc w:val="right"/>
        <w:rPr>
          <w:sz w:val="22"/>
        </w:rPr>
      </w:pPr>
    </w:p>
    <w:p w14:paraId="08000000">
      <w:pPr>
        <w:pStyle w:val="Style_3"/>
        <w:widowControl w:val="1"/>
        <w:spacing w:after="0" w:before="0" w:line="360" w:lineRule="auto"/>
        <w:ind/>
        <w:jc w:val="center"/>
        <w:rPr>
          <w:b w:val="1"/>
          <w:color w:val="000000"/>
          <w:sz w:val="28"/>
        </w:rPr>
      </w:pPr>
      <w:bookmarkStart w:id="1" w:name="_Hlk204258847"/>
      <w:bookmarkStart w:id="2" w:name="_Hlk204251886"/>
      <w:bookmarkStart w:id="3" w:name="_Hlk204251706"/>
      <w:bookmarkStart w:id="4" w:name="_Hlk204251868"/>
      <w:r>
        <w:rPr>
          <w:b w:val="1"/>
          <w:color w:val="000000"/>
          <w:sz w:val="28"/>
        </w:rPr>
        <w:t xml:space="preserve">Порядок обеспечения эпидемиологической (биологической, инфекционной) </w:t>
      </w:r>
      <w:bookmarkEnd w:id="4"/>
      <w:r>
        <w:rPr>
          <w:b w:val="1"/>
          <w:color w:val="000000"/>
          <w:sz w:val="28"/>
        </w:rPr>
        <w:t>безопасности</w:t>
      </w:r>
      <w:bookmarkEnd w:id="2"/>
      <w:bookmarkEnd w:id="3"/>
      <w:r>
        <w:rPr>
          <w:b w:val="1"/>
          <w:color w:val="000000"/>
          <w:sz w:val="28"/>
        </w:rPr>
        <w:t xml:space="preserve"> в </w:t>
      </w:r>
      <w:bookmarkEnd w:id="1"/>
      <w:r>
        <w:rPr>
          <w:b w:val="1"/>
          <w:color w:val="000000"/>
          <w:sz w:val="28"/>
        </w:rPr>
        <w:t>учреждениях</w:t>
      </w:r>
    </w:p>
    <w:p w14:paraId="09000000">
      <w:pPr>
        <w:pStyle w:val="Style_3"/>
        <w:widowControl w:val="1"/>
        <w:spacing w:after="0" w:before="0" w:line="36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b w:val="1"/>
          <w:color w:val="000000"/>
          <w:sz w:val="28"/>
        </w:rPr>
        <w:t>1. Определение терминов:</w:t>
      </w:r>
    </w:p>
    <w:p w14:paraId="0A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1.2.1. эпидемиологическая (биологическая, инфекционная) безопасность медицинской помощи –состояние, характеризующееся совокупностью условий, при которых отсутствует недопустимый риск возникновения у получателей социальных услуг и медицинского персонала заболеваний инфекциями, связанными с оказанием медицинской помощи, состояний носительства, интоксикации, сенсибилизации организма, травм, вызванных микро- и макроорганизмами и продуктами их жизнедеятельности, а также культурами клеток и тканей;</w:t>
      </w:r>
    </w:p>
    <w:p w14:paraId="0B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1.2.2. эпидемиологическое обеспечение – комплекс диагностических, санитарно-противоэпидемических (профилактических) мероприятий, направленных на создание безопасной среды, обеспечение качества медицинской помощи и предотвращение случаев инфекционных (паразитарных) заболеваний, включая инфекции, связанные с оказанием медицинской помощи, инфекционные болезни, которые могут привести к возникновению чрезвычайных ситуаций в области санитарно-эпидемиологического благополучия населения, а также актуальных неинфекционных заболеваний среди населения, получателей социальных услуг и персонала в учреждениях;</w:t>
      </w:r>
    </w:p>
    <w:p w14:paraId="0C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1.2.3. ИСМП – инфекция (инфекционное заболевание), связанная с оказанием медицинской помощи. Любое клинически распознаваемое инфекционное заболевание, которое возникает у человека в результате его поступления в медицинскую организацию или обращения в нее за медицинской помощью или работника медицинской организации вследствие его работы в такой организации вне зависимости от времени появления симптомов заболевания.</w:t>
      </w:r>
    </w:p>
    <w:p w14:paraId="0D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b w:val="1"/>
          <w:color w:val="000000"/>
          <w:sz w:val="28"/>
        </w:rPr>
        <w:t>2.</w:t>
      </w:r>
      <w:r>
        <w:rPr>
          <w:color w:val="000000"/>
          <w:sz w:val="28"/>
        </w:rPr>
        <w:t xml:space="preserve"> </w:t>
      </w:r>
      <w:bookmarkStart w:id="5" w:name="_Hlk204340136"/>
      <w:r>
        <w:rPr>
          <w:color w:val="000000"/>
          <w:sz w:val="28"/>
        </w:rPr>
        <w:t>У</w:t>
      </w:r>
      <w:bookmarkEnd w:id="5"/>
      <w:r>
        <w:rPr>
          <w:color w:val="000000"/>
          <w:sz w:val="28"/>
        </w:rPr>
        <w:t>чреждение социального обслуживания в целях обеспечения эпидемиологической безопасности  предусматривает:</w:t>
      </w:r>
    </w:p>
    <w:p w14:paraId="0E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2.1. Наличие Программы мероприятий по улучшению санитарно-эпидемиологического состояния в учреждении. В том числе:</w:t>
      </w:r>
    </w:p>
    <w:p w14:paraId="0F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2.1.1.Неспецифические мероприятия:</w:t>
      </w:r>
    </w:p>
    <w:p w14:paraId="10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архитектурно-планировочные;</w:t>
      </w:r>
    </w:p>
    <w:p w14:paraId="11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санитарно-технические;</w:t>
      </w:r>
    </w:p>
    <w:p w14:paraId="12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санитарно-профилактические (противоэпидемические);</w:t>
      </w:r>
    </w:p>
    <w:p w14:paraId="13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дезинфекционно-стерилизационные.</w:t>
      </w:r>
    </w:p>
    <w:p w14:paraId="14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2.1.2. Мероприятия по специфической профилактике:</w:t>
      </w:r>
    </w:p>
    <w:p w14:paraId="15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42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иммунопрофилактика медицинского персонала (в особых случаях – получателей социальных услуг);</w:t>
      </w:r>
    </w:p>
    <w:p w14:paraId="16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42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экстренная профилактика, включая использование бактериофагов и иммуномодуляторов как для получателей социальных услуг, так и медицинских работников.</w:t>
      </w:r>
    </w:p>
    <w:p w14:paraId="17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2.1.3. Рациональные гигиенические и санитарно-профилактические (противоэпидемические) мероприятия:</w:t>
      </w:r>
    </w:p>
    <w:p w14:paraId="18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обеспечение оптимальных гигиенических условий для осуществления лечебно-диагностического процесса, размещения и питания получателей социальных услуг;</w:t>
      </w:r>
    </w:p>
    <w:p w14:paraId="19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обеспечение оптимальных гигиенических условий труда медицинского персонала учреждения;</w:t>
      </w:r>
    </w:p>
    <w:p w14:paraId="1A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предупреждение заноса инфекции, возникновения групповой и вспышечной заболеваемости в учреждении, реализации путей передачи инфекций, связанных с оказанием медицинской помощи (ИСМП);</w:t>
      </w:r>
    </w:p>
    <w:p w14:paraId="1B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реализация адекватных изоляционно-ограничительных мероприятий;</w:t>
      </w:r>
    </w:p>
    <w:p w14:paraId="1C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обеспечение условий, необходимых для соблюдения требований по обработке рук медицинского персонала, инъекционного полей, санитарной обработке кожных покровов получателей социальных услуг, по организации текущей и заключительной дезинфекции;</w:t>
      </w:r>
    </w:p>
    <w:p w14:paraId="1D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внедрение современных технологий уборки помещений;</w:t>
      </w:r>
    </w:p>
    <w:p w14:paraId="1E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соблюдение противоэпидемических требований и санитарных норм по сбору, временному хранению, обеззараживанию (обезвреживанию) и удалению медицинских отходов;</w:t>
      </w:r>
    </w:p>
    <w:p w14:paraId="1F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внедрение современных технологий приготовления, транспортировки и раздачи пищи;</w:t>
      </w:r>
    </w:p>
    <w:p w14:paraId="20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соблюдение правил личной гигиены и санитарных норм ухода за получателями социальных услуг;</w:t>
      </w:r>
    </w:p>
    <w:p w14:paraId="21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соблюдение бельевого режима, более широкое применение одноразового белья, одежды для медицинского персонала и текстильных изделий, применяемых для ухода за получателями социальных услуг;</w:t>
      </w:r>
    </w:p>
    <w:p w14:paraId="22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обеспечение должных санитарно-гигиенических условий на рабочих местах медицинского персонала;</w:t>
      </w:r>
    </w:p>
    <w:p w14:paraId="23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проведение санитарно-просветительной работы среди получателей социальных услуг.</w:t>
      </w:r>
    </w:p>
    <w:p w14:paraId="24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2.1.4. Мероприятия по дезинфекции и стерилизации:</w:t>
      </w:r>
    </w:p>
    <w:p w14:paraId="25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42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мероприятия по дезинфекции, предстерилизационной очистке и стерилизации изделий медицинского назначения;</w:t>
      </w:r>
    </w:p>
    <w:p w14:paraId="26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42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замена изделий многократного применения на изделия однократного применения;</w:t>
      </w:r>
    </w:p>
    <w:p w14:paraId="27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42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обработка (дезинфекция) изделий медицинского назначения;</w:t>
      </w:r>
    </w:p>
    <w:p w14:paraId="28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42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обеззараживание и очистка воздуха с использованием эффективных, безопасных для медицинского персонала и получателей социальных услуг средств и оборудования;</w:t>
      </w:r>
    </w:p>
    <w:p w14:paraId="29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42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применение высокоэффективных и малотоксичных средств дезинфекции, дезинсекции и дератизации;</w:t>
      </w:r>
    </w:p>
    <w:p w14:paraId="2A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42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использование эффективных и малотоксичных, удобных в применении кожных антисептиков для обеззараживания рук медицинских работников и кожного покрова получателей социальных услуг.</w:t>
      </w:r>
    </w:p>
    <w:p w14:paraId="2B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2.2. Наличие Программы организации и проведения производственного контроля за соблюдением санитарных правил и выполнением санитарно-противоэпидемических (профилактических) мероприятий.</w:t>
      </w:r>
    </w:p>
    <w:p w14:paraId="2C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2.3. Обеспечение эпидемиологической безопасности медицинских технологий.</w:t>
      </w:r>
    </w:p>
    <w:p w14:paraId="2D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2.4. Управление рисками – наличие утвержденных эпидемиологически безопасных СОПов (алгоритмов инвазивных, в том числе манипуляций, процедур, инструкций обеззараживания объектов). </w:t>
      </w:r>
      <w:r>
        <w:rPr>
          <w:color w:val="000000"/>
          <w:sz w:val="28"/>
        </w:rPr>
        <w:t>В частности,</w:t>
      </w:r>
    </w:p>
    <w:p w14:paraId="2E000000">
      <w:pPr>
        <w:pStyle w:val="Style_3"/>
        <w:widowControl w:val="1"/>
        <w:spacing w:after="0" w:before="0" w:line="360" w:lineRule="auto"/>
        <w:ind w:firstLine="709" w:left="0" w:right="0"/>
        <w:jc w:val="both"/>
        <w:rPr/>
      </w:pPr>
      <w:r>
        <w:rPr>
          <w:color w:val="000000"/>
          <w:sz w:val="28"/>
        </w:rPr>
        <w:t>СОП «Порядок госпитализации получателя социальных услуг в стационар»;</w:t>
      </w:r>
    </w:p>
    <w:p w14:paraId="2F000000">
      <w:pPr>
        <w:pStyle w:val="Style_3"/>
        <w:widowControl w:val="1"/>
        <w:spacing w:after="0" w:before="0" w:line="360" w:lineRule="auto"/>
        <w:ind w:firstLine="709" w:left="0" w:right="0"/>
        <w:jc w:val="both"/>
        <w:rPr/>
      </w:pPr>
      <w:r>
        <w:rPr>
          <w:color w:val="000000"/>
          <w:sz w:val="28"/>
        </w:rPr>
        <w:t>СОП «Маршрутизация получателя социальных услуг с признаками инфекционного заболевания»;</w:t>
      </w:r>
    </w:p>
    <w:p w14:paraId="30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i w:val="1"/>
          <w:color w:val="000000"/>
          <w:sz w:val="28"/>
        </w:rPr>
        <w:t xml:space="preserve"> </w:t>
      </w:r>
      <w:r>
        <w:rPr>
          <w:color w:val="000000"/>
          <w:sz w:val="28"/>
        </w:rPr>
        <w:t>стандартные операционные процедуры по выявлению и регистрации случаев ИСМП, в том числе алгоритмы действий медицинских работников при выявлении случаев ИСМП, порядок передачи информации о выявлении и регистрации случаев ИСМП в Учреждении.</w:t>
      </w:r>
      <w:bookmarkStart w:id="6" w:name="_Hlk204340330"/>
      <w:bookmarkEnd w:id="6"/>
    </w:p>
    <w:p w14:paraId="31000000">
      <w:pPr>
        <w:pStyle w:val="Style_3"/>
        <w:widowControl w:val="1"/>
        <w:spacing w:after="0" w:before="0" w:line="36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b w:val="1"/>
          <w:color w:val="000000"/>
          <w:sz w:val="28"/>
        </w:rPr>
        <w:t>3. Критерии качества контроля распространения инфекций</w:t>
      </w:r>
    </w:p>
    <w:p w14:paraId="32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3.1. Обеспечение эпидемиологической безопасности медицинских технологий:</w:t>
      </w:r>
    </w:p>
    <w:p w14:paraId="33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соответствие технологии гигиены рук стандарту;</w:t>
      </w:r>
    </w:p>
    <w:p w14:paraId="34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обеспечение выполнения изоляционно-ограничительных и противоэпидемических мероприятий – 100 процентов.</w:t>
      </w:r>
    </w:p>
    <w:p w14:paraId="35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3.2. Обеспечение эпидемиологической безопасности:</w:t>
      </w:r>
    </w:p>
    <w:p w14:paraId="36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соответствие технологии обращения с медицинскими отходами санитарному законодательству;</w:t>
      </w:r>
    </w:p>
    <w:p w14:paraId="37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охват камерной дезинфекцией постельных принадлежностей – в 100 процентах случаев по санитарному законодательству при инфекционных заболеваниях и 100-процентный – от отчисленных получателей социальных услуг;</w:t>
      </w:r>
    </w:p>
    <w:p w14:paraId="38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соответствие обеспеченности дезинфицирующими и антисептическими средствами расчетному количеству и соответствие этих средств целевому назначению (критериям выбора);</w:t>
      </w:r>
    </w:p>
    <w:p w14:paraId="39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обеспеченность оборудованием для дезинфекции;</w:t>
      </w:r>
    </w:p>
    <w:p w14:paraId="3A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соблюдение графика и условий проведения генеральных уборок эпидемиологически значимых помещений;</w:t>
      </w:r>
    </w:p>
    <w:p w14:paraId="3B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соответствие качества текущей, заключительной, профилактической дезинфекции требованиям санитарного законодательства.</w:t>
      </w:r>
    </w:p>
    <w:p w14:paraId="3C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3.3. Обеспечение эпидемиологической диагностики:</w:t>
      </w:r>
    </w:p>
    <w:p w14:paraId="3D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использование стандартных определений случая ИСМП для целей эпидемиологической диагностики.</w:t>
      </w:r>
    </w:p>
    <w:p w14:paraId="3E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3.4. Обеспечение эпидемиологической безопасности медицинского персонала:</w:t>
      </w:r>
    </w:p>
    <w:p w14:paraId="3F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охват иммунопрофилактикой, регламентированной санитарным законодательством;</w:t>
      </w:r>
    </w:p>
    <w:p w14:paraId="40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обеспеченность индивидуальными средствами защиты;</w:t>
      </w:r>
    </w:p>
    <w:p w14:paraId="41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обеспеченность алгоритмами эпидемиологически безопасных медицинских технологий;</w:t>
      </w:r>
    </w:p>
    <w:p w14:paraId="42000000">
      <w:pPr>
        <w:pStyle w:val="Style_4"/>
        <w:widowControl w:val="1"/>
        <w:numPr>
          <w:ilvl w:val="0"/>
          <w:numId w:val="1"/>
        </w:numPr>
        <w:spacing w:after="0" w:before="0" w:line="360" w:lineRule="auto"/>
        <w:ind w:firstLine="131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100-процентный охват своевременными медицинскими осмотрами.</w:t>
      </w:r>
    </w:p>
    <w:p w14:paraId="43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3.5. Кадровое обеспечение эпидемиологической безопасности:</w:t>
      </w:r>
    </w:p>
    <w:p w14:paraId="44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укомплектованность медицинским персоналом в соответствии со штатным расписанием;</w:t>
      </w:r>
    </w:p>
    <w:p w14:paraId="45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охват обучением на семинарах, конференциях по обеспечению эпидемиологической безопасности в Учреждении – 100 процентов от численности медицинского персонала ежегодно.</w:t>
      </w:r>
    </w:p>
    <w:p w14:paraId="46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b w:val="1"/>
          <w:color w:val="000000"/>
          <w:sz w:val="28"/>
        </w:rPr>
        <w:t>4. Эпидемиологическая (инфекционная, биологическая) безопасность обеспечивается нормативными документами:</w:t>
      </w:r>
    </w:p>
    <w:p w14:paraId="47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4.1. Нормативно-правовыми документами:</w:t>
      </w:r>
    </w:p>
    <w:p w14:paraId="48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Федеральный закон от 21.11.2011 № 323-ФЗ «Об основах охраны здоровья граждан в Российской Федерации»;</w:t>
      </w:r>
    </w:p>
    <w:p w14:paraId="49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Федеральный закон от 30.03.1999 № 52-ФЗ «О санитарно-эпидемиологическом благополучии населения»;</w:t>
      </w:r>
    </w:p>
    <w:p w14:paraId="4A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Федеральный закон от 17.09.1998 № 157-ФЗ «Об иммунопрофилактике инфекционных болезней»;</w:t>
      </w:r>
    </w:p>
    <w:p w14:paraId="4B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Федеральный закон от 30.12.2020 № 492-ФЗ «О биологической безопасности в Российской Федерации»;</w:t>
      </w:r>
    </w:p>
    <w:p w14:paraId="4C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Методические рекомендации МР 2.2.9.2242-07 «Гигиенические и эпидемиологические требования к условиям труда медицинских работников, выполняющих работы, связанные с риском возникновения инфекционных заболеваний» (утв. руководителем Федеральной службы по надзору в сфере защиты прав и благополучия человека);</w:t>
      </w:r>
    </w:p>
    <w:p w14:paraId="4D000000">
      <w:pPr>
        <w:pStyle w:val="Style_3"/>
        <w:widowControl w:val="1"/>
        <w:spacing w:after="0" w:before="0" w:line="360" w:lineRule="auto"/>
        <w:ind w:firstLine="709" w:left="0" w:right="0"/>
        <w:jc w:val="both"/>
        <w:rPr/>
      </w:pPr>
      <w:r>
        <w:rPr>
          <w:color w:val="000000"/>
          <w:sz w:val="28"/>
        </w:rPr>
        <w:t>«Национальная концепция профилактики инфекций, связанных с оказанием медицинской помощи»(утв. главным государственным санитарным врачом Российской Федерации 06.11.2011);</w:t>
      </w:r>
    </w:p>
    <w:p w14:paraId="4E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СанПиН 3.3686-21 «Санитарно-эпидемиологические требования по профилактике инфекционных болезней»;</w:t>
      </w:r>
    </w:p>
    <w:p w14:paraId="4F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14:paraId="50000000">
      <w:pPr>
        <w:pStyle w:val="Style_2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ГОСТ Р 52623.3-2015 «Манипуляции сестринского ухода»;</w:t>
      </w:r>
    </w:p>
    <w:p w14:paraId="51000000">
      <w:pPr>
        <w:pStyle w:val="Style_2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ГОСТ Р 52623.4-20 «Технологии выполнения простых медицинских услуг инвазивных вмешательств»;</w:t>
      </w:r>
    </w:p>
    <w:p w14:paraId="52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Приказ Минздрава России от 26.10.2023 № 577н «Об утверждении стандарта медицинской помощи взрослым при сахарном диабете 1 типа (диагностика и лечение)»;</w:t>
      </w:r>
    </w:p>
    <w:p w14:paraId="53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Методические указания МУ 3.5.1.3674-20 «Обеззараживание рук медицинских работников и кожных покровов пациентов при оказании медицинской помощи» от 14.12.2020 г.;</w:t>
      </w:r>
    </w:p>
    <w:p w14:paraId="54000000">
      <w:pPr>
        <w:pStyle w:val="Style_2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ФКР «Гигиена рук медицинского персонала» (2014 год);</w:t>
      </w:r>
    </w:p>
    <w:p w14:paraId="55000000">
      <w:pPr>
        <w:pStyle w:val="Style_2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ФКР «Федеральные клинические рекомендации по выбору химических средств дезинфекции и стерилизации для использования в медицинских организациях» (2014 год).</w:t>
      </w:r>
    </w:p>
    <w:p w14:paraId="56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4.2. Программой мероприятий по улучшению санитарно-эпидемиологического состояния  </w:t>
      </w:r>
      <w:r>
        <w:rPr>
          <w:i w:val="0"/>
          <w:color w:val="000000"/>
          <w:sz w:val="28"/>
        </w:rPr>
        <w:t xml:space="preserve">Учреждения социального обслуживания </w:t>
      </w:r>
      <w:r>
        <w:rPr>
          <w:color w:val="000000"/>
          <w:sz w:val="28"/>
        </w:rPr>
        <w:t>(разрабатывается на долгосрочный период).</w:t>
      </w:r>
    </w:p>
    <w:p w14:paraId="57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4.3. Программой организации и проведения производственного контроля за соблюдением санитарных правил и выполнением санитарно-противоэпидемических (профилактических) мероприятий (разрабатывается ежегодно).</w:t>
      </w:r>
    </w:p>
    <w:p w14:paraId="58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4.4. Планами мероприятий по обеспечению эпидемиологической (инфекционной) безопасности, разработанными в </w:t>
      </w:r>
      <w:r>
        <w:rPr>
          <w:i w:val="0"/>
          <w:color w:val="000000"/>
          <w:sz w:val="28"/>
        </w:rPr>
        <w:t>Учреждении социального обслуживания:</w:t>
      </w:r>
    </w:p>
    <w:p w14:paraId="59000000">
      <w:pPr>
        <w:pStyle w:val="Style_3"/>
        <w:widowControl w:val="1"/>
        <w:spacing w:after="0" w:before="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- план мероприятий по профилактике внутрибольничных инфекций (ИСМП), парентеральных гепатитов и ВИЧ;</w:t>
      </w:r>
    </w:p>
    <w:p w14:paraId="5A000000">
      <w:pPr>
        <w:pStyle w:val="Style_3"/>
        <w:widowControl w:val="1"/>
        <w:spacing w:after="0" w:before="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- план работы подкомиссии по контролю за соблюдением требований биологической безопасности и профилактике внутрибольничных инфекций (ИСМП).</w:t>
      </w:r>
    </w:p>
    <w:p w14:paraId="5B000000">
      <w:pPr>
        <w:pStyle w:val="Style_3"/>
        <w:widowControl w:val="1"/>
        <w:spacing w:after="0" w:before="0" w:line="360" w:lineRule="auto"/>
        <w:ind w:firstLine="709" w:left="0" w:right="0"/>
        <w:jc w:val="both"/>
        <w:rPr/>
      </w:pPr>
      <w:r>
        <w:rPr>
          <w:color w:val="000000"/>
          <w:sz w:val="28"/>
        </w:rPr>
        <w:t>4.5. Приказами Министерства труда и социального развития Республики Саха (Якутия), учреждений социального обслуживания по обеспечению эпидемиологической безопасности.</w:t>
      </w:r>
    </w:p>
    <w:p w14:paraId="5C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4.6. Стандартными операционными процедурами (СОПами), инструкциями, алгоритмами и памятками для медработников по обеспечению эпидемиологической безопасности, утвержденными руководителем Учреждения.</w:t>
      </w:r>
    </w:p>
    <w:p w14:paraId="5D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4.7. Должностными инструкциями и функциональными обязанностями медицинского персонала </w:t>
      </w:r>
      <w:r>
        <w:rPr>
          <w:i w:val="0"/>
          <w:color w:val="000000"/>
          <w:sz w:val="28"/>
        </w:rPr>
        <w:t>Учреждения социального обслуживания.</w:t>
      </w:r>
    </w:p>
    <w:p w14:paraId="5E000000">
      <w:pPr>
        <w:pStyle w:val="Style_3"/>
        <w:widowControl w:val="1"/>
        <w:spacing w:after="0" w:before="0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br w:type="page"/>
      </w:r>
    </w:p>
    <w:p w14:paraId="5F000000">
      <w:pPr>
        <w:pStyle w:val="Style_3"/>
        <w:widowControl w:val="1"/>
        <w:spacing w:after="0" w:before="0"/>
        <w:ind/>
        <w:jc w:val="right"/>
        <w:rPr>
          <w:rFonts w:ascii="Times New Roman" w:hAnsi="Times New Roman"/>
          <w:i w:val="1"/>
          <w:color w:val="000000"/>
          <w:sz w:val="28"/>
        </w:rPr>
      </w:pPr>
    </w:p>
    <w:p w14:paraId="60000000">
      <w:pPr>
        <w:pStyle w:val="Style_2"/>
        <w:widowControl w:val="1"/>
        <w:spacing w:after="280" w:before="0" w:line="240" w:lineRule="auto"/>
        <w:ind/>
        <w:jc w:val="right"/>
        <w:rPr>
          <w:b w:val="0"/>
          <w:color w:val="302709"/>
          <w:sz w:val="22"/>
        </w:rPr>
      </w:pPr>
      <w:r>
        <w:rPr>
          <w:b w:val="0"/>
          <w:color w:val="302709"/>
          <w:sz w:val="24"/>
        </w:rPr>
        <w:t>Приложение 2 к приказу</w:t>
      </w:r>
    </w:p>
    <w:p w14:paraId="61000000">
      <w:pPr>
        <w:pStyle w:val="Style_2"/>
        <w:widowControl w:val="1"/>
        <w:spacing w:after="280" w:before="280" w:line="240" w:lineRule="auto"/>
        <w:ind/>
        <w:jc w:val="right"/>
        <w:rPr>
          <w:sz w:val="22"/>
        </w:rPr>
      </w:pPr>
      <w:r>
        <w:rPr>
          <w:sz w:val="22"/>
        </w:rPr>
        <w:t xml:space="preserve">Министерства труда и социального развития </w:t>
      </w:r>
    </w:p>
    <w:p w14:paraId="62000000">
      <w:pPr>
        <w:pStyle w:val="Style_2"/>
        <w:widowControl w:val="1"/>
        <w:spacing w:after="280" w:before="280" w:line="240" w:lineRule="auto"/>
        <w:ind/>
        <w:jc w:val="right"/>
        <w:rPr>
          <w:sz w:val="22"/>
        </w:rPr>
      </w:pPr>
      <w:r>
        <w:rPr>
          <w:sz w:val="22"/>
        </w:rPr>
        <w:t>Республики Саха (Якутия)</w:t>
      </w:r>
    </w:p>
    <w:p w14:paraId="63000000">
      <w:pPr>
        <w:pStyle w:val="Style_2"/>
        <w:widowControl w:val="1"/>
        <w:spacing w:after="280" w:before="280" w:line="240" w:lineRule="auto"/>
        <w:ind/>
        <w:jc w:val="right"/>
        <w:rPr>
          <w:sz w:val="22"/>
        </w:rPr>
      </w:pPr>
      <w:r>
        <w:rPr>
          <w:sz w:val="22"/>
        </w:rPr>
        <w:t>от _____________2025 №__________</w:t>
      </w:r>
    </w:p>
    <w:p w14:paraId="64000000">
      <w:pPr>
        <w:pStyle w:val="Style_3"/>
        <w:widowControl w:val="1"/>
        <w:spacing w:after="280" w:before="0" w:line="240" w:lineRule="auto"/>
        <w:ind/>
        <w:jc w:val="right"/>
        <w:rPr>
          <w:rFonts w:ascii="Times New Roman" w:hAnsi="Times New Roman"/>
          <w:i w:val="1"/>
          <w:color w:val="000000"/>
          <w:sz w:val="24"/>
        </w:rPr>
      </w:pPr>
    </w:p>
    <w:p w14:paraId="6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1"/>
          <w:color w:val="000000"/>
          <w:sz w:val="28"/>
        </w:rPr>
      </w:pPr>
      <w:bookmarkStart w:id="7" w:name="_Hlk204258551"/>
      <w:bookmarkEnd w:id="7"/>
      <w:r>
        <w:rPr>
          <w:b w:val="1"/>
          <w:color w:val="000000"/>
          <w:sz w:val="28"/>
        </w:rPr>
        <w:t>Примерная программа обеспечения эпидемиологической безопасности</w:t>
      </w:r>
    </w:p>
    <w:p w14:paraId="66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</w:p>
    <w:tbl>
      <w:tblPr>
        <w:tblStyle w:val="Style_5"/>
        <w:tblW w:type="auto" w:w="0"/>
        <w:jc w:val="left"/>
        <w:tblInd w:type="dxa" w:w="-209"/>
        <w:tblLayout w:type="fixed"/>
        <w:tblCellMar>
          <w:top w:type="dxa" w:w="75"/>
          <w:left w:type="dxa" w:w="75"/>
          <w:bottom w:type="dxa" w:w="75"/>
          <w:right w:type="dxa" w:w="75"/>
        </w:tblCellMar>
      </w:tblPr>
      <w:tblGrid>
        <w:gridCol w:w="494"/>
        <w:gridCol w:w="4893"/>
        <w:gridCol w:w="2268"/>
        <w:gridCol w:w="2268"/>
      </w:tblGrid>
      <w:tr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bookmarkStart w:id="8" w:name="_Hlk2042585511"/>
            <w:bookmarkEnd w:id="8"/>
            <w:r>
              <w:rPr>
                <w:b w:val="1"/>
                <w:color w:val="000000"/>
                <w:spacing w:val="0"/>
                <w:sz w:val="24"/>
              </w:rPr>
              <w:t>№</w:t>
            </w:r>
            <w:r>
              <w:rPr>
                <w:color w:val="000000"/>
                <w:spacing w:val="0"/>
                <w:sz w:val="24"/>
              </w:rPr>
              <w:br/>
            </w:r>
            <w:r>
              <w:rPr>
                <w:b w:val="1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4893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b w:val="1"/>
                <w:color w:val="000000"/>
                <w:spacing w:val="0"/>
                <w:sz w:val="24"/>
              </w:rPr>
              <w:t>Мероприятие</w:t>
            </w:r>
          </w:p>
        </w:tc>
        <w:tc>
          <w:tcPr>
            <w:tcW w:type="dxa" w:w="226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 w:val="1"/>
                <w:color w:val="000000"/>
                <w:spacing w:val="0"/>
                <w:sz w:val="24"/>
              </w:rPr>
              <w:t>Сроки/</w:t>
            </w:r>
            <w:r>
              <w:rPr>
                <w:color w:val="000000"/>
                <w:spacing w:val="0"/>
                <w:sz w:val="24"/>
              </w:rPr>
              <w:br/>
            </w:r>
            <w:r>
              <w:rPr>
                <w:b w:val="1"/>
                <w:color w:val="000000"/>
                <w:spacing w:val="0"/>
                <w:sz w:val="24"/>
              </w:rPr>
              <w:t>периодичность</w:t>
            </w:r>
          </w:p>
        </w:tc>
        <w:tc>
          <w:tcPr>
            <w:tcW w:type="dxa" w:w="226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b w:val="1"/>
                <w:color w:val="000000"/>
                <w:spacing w:val="0"/>
                <w:sz w:val="24"/>
              </w:rPr>
              <w:t>Ответственные лица</w:t>
            </w:r>
          </w:p>
        </w:tc>
      </w:tr>
      <w:tr>
        <w:tc>
          <w:tcPr>
            <w:tcW w:type="dxa" w:w="49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489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Организовать проведение заседаний комиссии по ИСМП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Не реже 1 раз</w:t>
            </w:r>
            <w:r>
              <w:rPr>
                <w:color w:val="000000"/>
                <w:spacing w:val="0"/>
                <w:sz w:val="24"/>
              </w:rPr>
              <w:t>а</w:t>
            </w:r>
            <w:r>
              <w:rPr>
                <w:color w:val="000000"/>
                <w:spacing w:val="0"/>
                <w:sz w:val="24"/>
              </w:rPr>
              <w:t xml:space="preserve"> в квартал</w:t>
            </w:r>
          </w:p>
          <w:p w14:paraId="6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Внеплановые заседания – по необходимости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Председатель комиссии по профилактике ИСМП</w:t>
            </w:r>
          </w:p>
        </w:tc>
      </w:tr>
      <w:tr>
        <w:tc>
          <w:tcPr>
            <w:tcW w:type="dxa" w:w="49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489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Обеспечить выявление ИСМП методом ретроспективной оценки истории болезни получателей социальных услуг с высокой группой риска (ПСУ имеющие оперативные вмешательства, манипуляции)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Не реже 1 раза в квартал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Заведующий структурным подразделением</w:t>
            </w:r>
          </w:p>
        </w:tc>
      </w:tr>
      <w:tr>
        <w:tc>
          <w:tcPr>
            <w:tcW w:type="dxa" w:w="49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489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Обеспечить информирование всех служб и подразделений о решениях по электронной почте, принятых на заседаниях комиссии по ИСМП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Постоянно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Председатель комиссии по профилактике ИСМП</w:t>
            </w:r>
          </w:p>
        </w:tc>
      </w:tr>
      <w:tr>
        <w:tc>
          <w:tcPr>
            <w:tcW w:type="dxa" w:w="49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489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Проводить выявление и регистрацию ИСМП согласно «Регламенту выявления, учета и регистрации ИСМП»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Постоянно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Врачи</w:t>
            </w:r>
          </w:p>
          <w:p w14:paraId="7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Заведующие отделениями,</w:t>
            </w:r>
          </w:p>
        </w:tc>
      </w:tr>
      <w:tr>
        <w:tc>
          <w:tcPr>
            <w:tcW w:type="dxa" w:w="49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</w:t>
            </w:r>
          </w:p>
        </w:tc>
        <w:tc>
          <w:tcPr>
            <w:tcW w:type="dxa" w:w="489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Обеспечить все подразделения стандартными определениями случая (в соответствии с профилем подразделения) по ИСМП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До конца года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Заведующий структурным подразделением</w:t>
            </w:r>
          </w:p>
        </w:tc>
      </w:tr>
      <w:tr>
        <w:tc>
          <w:tcPr>
            <w:tcW w:type="dxa" w:w="49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6</w:t>
            </w:r>
          </w:p>
        </w:tc>
        <w:tc>
          <w:tcPr>
            <w:tcW w:type="dxa" w:w="489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Проводить аудит по соблюдению требований эпидемиологической безопасности структурных подразделений, прачечной, пищеблока, клининговой компании (по графику аудитов)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Ежеквартально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Заведующий структурным подразделением</w:t>
            </w:r>
          </w:p>
        </w:tc>
      </w:tr>
      <w:tr>
        <w:tc>
          <w:tcPr>
            <w:tcW w:type="dxa" w:w="49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7</w:t>
            </w:r>
          </w:p>
        </w:tc>
        <w:tc>
          <w:tcPr>
            <w:tcW w:type="dxa" w:w="489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Провести обучение медицинского персонала отделений действующим СОП по эпидемиологической безопасности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До конца </w:t>
            </w:r>
            <w:r>
              <w:rPr>
                <w:color w:val="000000"/>
                <w:spacing w:val="0"/>
                <w:sz w:val="24"/>
              </w:rPr>
              <w:t>1</w:t>
            </w:r>
            <w:r>
              <w:rPr>
                <w:color w:val="000000"/>
                <w:spacing w:val="0"/>
                <w:sz w:val="24"/>
              </w:rPr>
              <w:t>-квартала</w:t>
            </w:r>
          </w:p>
          <w:p w14:paraId="8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Далее – вновь поступающих работников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Заведующие отделениями</w:t>
            </w:r>
          </w:p>
          <w:p w14:paraId="8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Старшие медицинские сестры</w:t>
            </w:r>
          </w:p>
        </w:tc>
      </w:tr>
      <w:tr>
        <w:tc>
          <w:tcPr>
            <w:tcW w:type="dxa" w:w="494"/>
            <w:tcBorders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8</w:t>
            </w:r>
          </w:p>
        </w:tc>
        <w:tc>
          <w:tcPr>
            <w:tcW w:type="dxa" w:w="4893"/>
            <w:tcBorders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Обеспечить проведение дезинфекции согласно СОП</w:t>
            </w:r>
          </w:p>
        </w:tc>
        <w:tc>
          <w:tcPr>
            <w:tcW w:type="dxa" w:w="2268"/>
            <w:tcBorders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Постоянно</w:t>
            </w:r>
          </w:p>
        </w:tc>
        <w:tc>
          <w:tcPr>
            <w:tcW w:type="dxa" w:w="2268"/>
            <w:tcBorders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Старшая медицинская сестра</w:t>
            </w:r>
          </w:p>
          <w:p w14:paraId="8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Медицинские сестры</w:t>
            </w:r>
          </w:p>
        </w:tc>
      </w:tr>
      <w:tr>
        <w:tc>
          <w:tcPr>
            <w:tcW w:type="dxa" w:w="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</w:t>
            </w:r>
          </w:p>
        </w:tc>
        <w:tc>
          <w:tcPr>
            <w:tcW w:type="dxa" w:w="4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Использовать дезинфицирующие средства согласно инструкции производителя, иметь неснижаемый запас дезинфицирующих средств в отделении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Постоянно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Старшие медицинские сестры</w:t>
            </w:r>
          </w:p>
        </w:tc>
      </w:tr>
      <w:tr>
        <w:tc>
          <w:tcPr>
            <w:tcW w:type="dxa" w:w="49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</w:t>
            </w:r>
          </w:p>
        </w:tc>
        <w:tc>
          <w:tcPr>
            <w:tcW w:type="dxa" w:w="4893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Провести обучение персонала, выполняющего уборку и дезинфекцию помещений соответствующим СОПам</w:t>
            </w:r>
          </w:p>
        </w:tc>
        <w:tc>
          <w:tcPr>
            <w:tcW w:type="dxa" w:w="2268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До конца года</w:t>
            </w:r>
          </w:p>
          <w:p w14:paraId="9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Далее – при заключении нового контракта на уборку помещений КДЦ.</w:t>
            </w:r>
          </w:p>
        </w:tc>
        <w:tc>
          <w:tcPr>
            <w:tcW w:type="dxa" w:w="2268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Заведующий структурным подразделением</w:t>
            </w:r>
          </w:p>
        </w:tc>
      </w:tr>
      <w:tr>
        <w:tc>
          <w:tcPr>
            <w:tcW w:type="dxa" w:w="49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11</w:t>
            </w:r>
          </w:p>
        </w:tc>
        <w:tc>
          <w:tcPr>
            <w:tcW w:type="dxa" w:w="489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Проводить контроль качества уборки и дезинфекции помещений в соответствии с СОПами (методом наблюдения)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Ежемесячно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Заведующий структурным подразделением</w:t>
            </w:r>
          </w:p>
        </w:tc>
      </w:tr>
      <w:tr>
        <w:tc>
          <w:tcPr>
            <w:tcW w:type="dxa" w:w="49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489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Осуществлять микробиологический контроль качества дезинфекции поверхностей помещений по договору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Ежеквартально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Заведующий структурным подразделением</w:t>
            </w:r>
          </w:p>
        </w:tc>
      </w:tr>
      <w:tr>
        <w:tc>
          <w:tcPr>
            <w:tcW w:type="dxa" w:w="49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489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Осуществлять микробиологический контроль чистоты воздуха помещений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Ежеквартально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Заведующий структурным подразделением</w:t>
            </w:r>
          </w:p>
        </w:tc>
      </w:tr>
      <w:tr>
        <w:tc>
          <w:tcPr>
            <w:tcW w:type="dxa" w:w="49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14</w:t>
            </w:r>
          </w:p>
        </w:tc>
        <w:tc>
          <w:tcPr>
            <w:tcW w:type="dxa" w:w="489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Проводить контроль качества предстерилизационной очистки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Ежедневно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Медицинская сестра</w:t>
            </w:r>
          </w:p>
        </w:tc>
      </w:tr>
      <w:tr>
        <w:tc>
          <w:tcPr>
            <w:tcW w:type="dxa" w:w="49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15</w:t>
            </w:r>
          </w:p>
        </w:tc>
        <w:tc>
          <w:tcPr>
            <w:tcW w:type="dxa" w:w="489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Проводить аудит качества предстерилизационной очистки, стерилизации и хранения изделий медицинского назначения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Ежемесячно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Старшая медицинская сестра</w:t>
            </w:r>
          </w:p>
        </w:tc>
      </w:tr>
      <w:tr>
        <w:tc>
          <w:tcPr>
            <w:tcW w:type="dxa" w:w="49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16</w:t>
            </w:r>
          </w:p>
        </w:tc>
        <w:tc>
          <w:tcPr>
            <w:tcW w:type="dxa" w:w="489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Проводить аудит соблюдения СОПов в каждом подразделении (просмотр не менее 10 разных процедур)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Ежегодно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Заведующий структурным подразделением</w:t>
            </w:r>
          </w:p>
          <w:p w14:paraId="B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B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Комиссия внутреннего контроля качества и безопасности медицинской деятельности</w:t>
            </w:r>
          </w:p>
        </w:tc>
      </w:tr>
      <w:tr>
        <w:trPr>
          <w:trHeight w:hRule="atLeast" w:val="1362"/>
        </w:trPr>
        <w:tc>
          <w:tcPr>
            <w:tcW w:type="dxa" w:w="49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17</w:t>
            </w:r>
          </w:p>
        </w:tc>
        <w:tc>
          <w:tcPr>
            <w:tcW w:type="dxa" w:w="489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/>
            </w:pPr>
            <w:r>
              <w:rPr>
                <w:color w:val="000000"/>
                <w:spacing w:val="0"/>
                <w:sz w:val="24"/>
              </w:rPr>
              <w:t>Проводить аудит по гигиене рук согласно СОП, в том числе оборудования мест для гигиены рук (исправность оборудования для мытья рук, наличие расходных материалов)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/>
            </w:pPr>
            <w:r>
              <w:rPr>
                <w:color w:val="000000"/>
                <w:spacing w:val="0"/>
                <w:sz w:val="24"/>
              </w:rPr>
              <w:t>Ежеквартально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/>
            </w:pPr>
            <w:r>
              <w:rPr>
                <w:color w:val="000000"/>
                <w:spacing w:val="0"/>
                <w:sz w:val="24"/>
              </w:rPr>
              <w:t>Заведующий структурным подразделением     Старшие медицинские сестры</w:t>
            </w:r>
          </w:p>
        </w:tc>
      </w:tr>
      <w:tr>
        <w:tc>
          <w:tcPr>
            <w:tcW w:type="dxa" w:w="49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18</w:t>
            </w:r>
          </w:p>
        </w:tc>
        <w:tc>
          <w:tcPr>
            <w:tcW w:type="dxa" w:w="489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Провести обучение всего персонала гигиене рук (с проведением тестирования)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До конца I квартала</w:t>
            </w:r>
          </w:p>
          <w:p w14:paraId="B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Далее – вновь поступающих работников и всего персонала ежегодно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Заведующий структурным подразделением</w:t>
            </w:r>
          </w:p>
        </w:tc>
      </w:tr>
      <w:tr>
        <w:tc>
          <w:tcPr>
            <w:tcW w:type="dxa" w:w="49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19</w:t>
            </w:r>
          </w:p>
        </w:tc>
        <w:tc>
          <w:tcPr>
            <w:tcW w:type="dxa" w:w="489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Обеспечить временную изоляцию ПСУ согласно Регламенту изоляции пациентов при наличии признаков инфекционного заболеваний у ПСУ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Постоянно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Врач, выявивший больного</w:t>
            </w:r>
          </w:p>
        </w:tc>
      </w:tr>
      <w:tr>
        <w:tc>
          <w:tcPr>
            <w:tcW w:type="dxa" w:w="49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</w:t>
            </w:r>
          </w:p>
        </w:tc>
        <w:tc>
          <w:tcPr>
            <w:tcW w:type="dxa" w:w="489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Провести обучение всего персонала стандартным мерам предосторожности согласно Регламенту профилактика инфицирования возбудителями гемоконтактных инфекций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До конца I квартала</w:t>
            </w:r>
          </w:p>
          <w:p w14:paraId="C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Далее – вновь поступающих работников и всего персонала ежегодно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Заведующие отделений</w:t>
            </w:r>
          </w:p>
          <w:p w14:paraId="C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Старшие медицинские сестры</w:t>
            </w:r>
          </w:p>
        </w:tc>
      </w:tr>
      <w:tr>
        <w:trPr>
          <w:trHeight w:hRule="atLeast" w:val="1510"/>
        </w:trPr>
        <w:tc>
          <w:tcPr>
            <w:tcW w:type="dxa" w:w="49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21</w:t>
            </w:r>
          </w:p>
        </w:tc>
        <w:tc>
          <w:tcPr>
            <w:tcW w:type="dxa" w:w="489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Провести обучение всего персонала контактным и капельным мерам предосторожности согласно Регламенту изоляции пациентов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До конца I квартала</w:t>
            </w:r>
          </w:p>
          <w:p w14:paraId="C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Далее – вновь поступающих работников и всего персонала ежегодно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Заведующий структурным подразделением</w:t>
            </w:r>
          </w:p>
        </w:tc>
      </w:tr>
      <w:tr>
        <w:trPr>
          <w:trHeight w:hRule="atLeast" w:val="1819"/>
        </w:trPr>
        <w:tc>
          <w:tcPr>
            <w:tcW w:type="dxa" w:w="49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22</w:t>
            </w:r>
          </w:p>
        </w:tc>
        <w:tc>
          <w:tcPr>
            <w:tcW w:type="dxa" w:w="489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Обеспечить соблюдение первичного комплекса противоэпидемических мероприятий при выявлении (подозрении) традиционных особо опасных инфекций согласно Регламенту по обеспечению противоэпидемических мер при отдельных эпидемических ситуациях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Постоянно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Лечащий врач</w:t>
            </w:r>
          </w:p>
          <w:p w14:paraId="C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Заведующий структурным подразделением</w:t>
            </w:r>
          </w:p>
        </w:tc>
      </w:tr>
      <w:tr>
        <w:trPr>
          <w:trHeight w:hRule="atLeast" w:val="1580"/>
        </w:trPr>
        <w:tc>
          <w:tcPr>
            <w:tcW w:type="dxa" w:w="49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23</w:t>
            </w:r>
          </w:p>
        </w:tc>
        <w:tc>
          <w:tcPr>
            <w:tcW w:type="dxa" w:w="489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Провести обучение всего персонала первичному комплексу противоэпидемических мероприятий при выявлении (подозрении) традиционных особо опасных инфекций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До конца года</w:t>
            </w:r>
          </w:p>
          <w:p w14:paraId="D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Далее – вновь поступающих работников по графику обучения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Заведующий структурным подразделением</w:t>
            </w:r>
          </w:p>
        </w:tc>
      </w:tr>
      <w:tr>
        <w:tc>
          <w:tcPr>
            <w:tcW w:type="dxa" w:w="49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24</w:t>
            </w:r>
          </w:p>
        </w:tc>
        <w:tc>
          <w:tcPr>
            <w:tcW w:type="dxa" w:w="489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Проводить аудит применения антибиотиков (просмотр не менее 10 историй болезни ПСУ, которым были назначены антибиотики)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Ежеквартально</w:t>
            </w:r>
          </w:p>
        </w:tc>
        <w:tc>
          <w:tcPr>
            <w:tcW w:type="dxa" w:w="22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Заведующий структурным подразделением</w:t>
            </w:r>
          </w:p>
        </w:tc>
      </w:tr>
    </w:tbl>
    <w:p w14:paraId="D9000000">
      <w:pPr>
        <w:pStyle w:val="Style_3"/>
        <w:widowControl w:val="1"/>
        <w:spacing w:after="0" w:before="0"/>
        <w:ind/>
        <w:rPr>
          <w:rFonts w:ascii="Times New Roman" w:hAnsi="Times New Roman"/>
          <w:color w:val="000000"/>
          <w:sz w:val="24"/>
        </w:rPr>
      </w:pPr>
    </w:p>
    <w:sectPr>
      <w:headerReference r:id="rId1" w:type="default"/>
      <w:type w:val="nextPage"/>
      <w:pgSz w:h="16838" w:orient="portrait" w:w="11906"/>
      <w:pgMar w:bottom="1134" w:footer="0" w:gutter="0" w:header="567" w:left="1134" w:right="708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spacing w:after="280" w:before="280"/>
      <w:ind/>
    </w:pPr>
  </w:p>
  <w:p w14:paraId="02000000">
    <w:pPr>
      <w:pStyle w:val="Style_1"/>
      <w:widowControl w:val="1"/>
      <w:spacing w:after="280" w:before="280"/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widowControl w:val="1"/>
        <w:tabs>
          <w:tab w:leader="none" w:pos="0" w:val="left"/>
        </w:tabs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0" w:val="left"/>
        </w:tabs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0" w:val="left"/>
        </w:tabs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tabs>
          <w:tab w:leader="none" w:pos="0" w:val="left"/>
        </w:tabs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tabs>
          <w:tab w:leader="none" w:pos="0" w:val="left"/>
        </w:tabs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0" w:val="left"/>
        </w:tabs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tabs>
          <w:tab w:leader="none" w:pos="0" w:val="left"/>
        </w:tabs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tabs>
          <w:tab w:leader="none" w:pos="0" w:val="left"/>
        </w:tabs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0" w:val="left"/>
        </w:tabs>
        <w:ind w:hanging="360" w:left="7189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Autospacing="on" w:beforeAutospacing="on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6" w:type="paragraph">
    <w:name w:val="Contents 3"/>
    <w:link w:val="Style_6_ch"/>
    <w:rPr>
      <w:rFonts w:ascii="XO Thames" w:hAnsi="XO Thames"/>
      <w:sz w:val="28"/>
    </w:rPr>
  </w:style>
  <w:style w:styleId="Style_6_ch" w:type="character">
    <w:name w:val="Contents 3"/>
    <w:link w:val="Style_6"/>
    <w:rPr>
      <w:rFonts w:ascii="XO Thames" w:hAnsi="XO Thames"/>
      <w:sz w:val="28"/>
    </w:rPr>
  </w:style>
  <w:style w:styleId="Style_4" w:type="paragraph">
    <w:name w:val="List Paragraph"/>
    <w:basedOn w:val="Style_3"/>
    <w:link w:val="Style_4_ch"/>
    <w:pPr>
      <w:widowControl w:val="1"/>
      <w:spacing w:after="280" w:before="280"/>
      <w:ind w:firstLine="0" w:left="720" w:right="0"/>
      <w:contextualSpacing w:val="1"/>
    </w:pPr>
  </w:style>
  <w:style w:styleId="Style_4_ch" w:type="character">
    <w:name w:val="List Paragraph"/>
    <w:basedOn w:val="Style_3_ch"/>
    <w:link w:val="Style_4"/>
  </w:style>
  <w:style w:styleId="Style_7" w:type="paragraph">
    <w:name w:val="toc 2"/>
    <w:next w:val="Style_3"/>
    <w:link w:val="Style_7_ch"/>
    <w:uiPriority w:val="39"/>
    <w:pPr>
      <w:widowControl w:val="1"/>
      <w:spacing w:afterAutospacing="on" w:beforeAutospacing="on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4"/>
    <w:next w:val="Style_3"/>
    <w:link w:val="Style_8_ch"/>
    <w:uiPriority w:val="39"/>
    <w:pPr>
      <w:widowControl w:val="1"/>
      <w:spacing w:afterAutospacing="on" w:beforeAutospacing="on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Contents 7"/>
    <w:link w:val="Style_9_ch"/>
    <w:rPr>
      <w:rFonts w:ascii="XO Thames" w:hAnsi="XO Thames"/>
      <w:sz w:val="28"/>
    </w:rPr>
  </w:style>
  <w:style w:styleId="Style_9_ch" w:type="character">
    <w:name w:val="Contents 7"/>
    <w:link w:val="Style_9"/>
    <w:rPr>
      <w:rFonts w:ascii="XO Thames" w:hAnsi="XO Thames"/>
      <w:sz w:val="28"/>
    </w:rPr>
  </w:style>
  <w:style w:styleId="Style_10" w:type="paragraph">
    <w:name w:val="toc 6"/>
    <w:next w:val="Style_3"/>
    <w:link w:val="Style_10_ch"/>
    <w:uiPriority w:val="39"/>
    <w:pPr>
      <w:widowControl w:val="1"/>
      <w:spacing w:afterAutospacing="on" w:beforeAutospacing="on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3"/>
    <w:link w:val="Style_11_ch"/>
    <w:uiPriority w:val="39"/>
    <w:pPr>
      <w:widowControl w:val="1"/>
      <w:spacing w:afterAutospacing="on" w:beforeAutospacing="on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Default Paragraph Font"/>
    <w:link w:val="Style_12_ch"/>
    <w:pPr>
      <w:widowControl w:val="1"/>
      <w:spacing w:afterAutospacing="on" w:beforeAutospacing="on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_ch" w:type="character">
    <w:name w:val="Default Paragraph Font"/>
    <w:link w:val="Style_12"/>
    <w:rPr>
      <w:rFonts w:asciiTheme="minorAscii" w:hAnsiTheme="minorHAnsi"/>
      <w:color w:val="000000"/>
      <w:spacing w:val="0"/>
      <w:sz w:val="22"/>
    </w:rPr>
  </w:style>
  <w:style w:styleId="Style_13" w:type="paragraph">
    <w:name w:val="Subtitle"/>
    <w:next w:val="Style_3"/>
    <w:link w:val="Style_13_ch"/>
    <w:pPr>
      <w:widowControl w:val="1"/>
      <w:spacing w:afterAutospacing="on" w:beforeAutospacing="on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13_ch" w:type="character">
    <w:name w:val="Subtitle"/>
    <w:link w:val="Style_13"/>
    <w:rPr>
      <w:rFonts w:ascii="XO Thames" w:hAnsi="XO Thames"/>
      <w:i w:val="1"/>
      <w:color w:val="000000"/>
      <w:spacing w:val="0"/>
      <w:sz w:val="24"/>
    </w:rPr>
  </w:style>
  <w:style w:styleId="Style_14" w:type="paragraph">
    <w:name w:val="Endnote"/>
    <w:link w:val="Style_14_ch"/>
    <w:pPr>
      <w:widowControl w:val="1"/>
      <w:spacing w:afterAutospacing="on" w:beforeAutospacing="on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_ch" w:type="character">
    <w:name w:val="Endnote"/>
    <w:link w:val="Style_14"/>
    <w:rPr>
      <w:rFonts w:ascii="XO Thames" w:hAnsi="XO Thames"/>
      <w:color w:val="000000"/>
      <w:spacing w:val="0"/>
      <w:sz w:val="22"/>
    </w:rPr>
  </w:style>
  <w:style w:styleId="Style_15" w:type="paragraph">
    <w:name w:val="heading 3"/>
    <w:next w:val="Style_3"/>
    <w:link w:val="Style_1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5_ch" w:type="character">
    <w:name w:val="heading 3"/>
    <w:link w:val="Style_15"/>
    <w:rPr>
      <w:rFonts w:ascii="XO Thames" w:hAnsi="XO Thames"/>
      <w:b w:val="1"/>
      <w:color w:val="000000"/>
      <w:spacing w:val="0"/>
      <w:sz w:val="26"/>
    </w:rPr>
  </w:style>
  <w:style w:styleId="Style_16" w:type="paragraph">
    <w:name w:val="Contents 9"/>
    <w:link w:val="Style_16_ch"/>
    <w:rPr>
      <w:rFonts w:ascii="XO Thames" w:hAnsi="XO Thames"/>
      <w:sz w:val="28"/>
    </w:rPr>
  </w:style>
  <w:style w:styleId="Style_16_ch" w:type="character">
    <w:name w:val="Contents 9"/>
    <w:link w:val="Style_16"/>
    <w:rPr>
      <w:rFonts w:ascii="XO Thames" w:hAnsi="XO Thames"/>
      <w:sz w:val="28"/>
    </w:rPr>
  </w:style>
  <w:style w:styleId="Style_17" w:type="paragraph">
    <w:name w:val="List"/>
    <w:basedOn w:val="Style_2"/>
    <w:link w:val="Style_17_ch"/>
    <w:rPr>
      <w:rFonts w:ascii="PT Astra Serif" w:hAnsi="PT Astra Serif"/>
    </w:rPr>
  </w:style>
  <w:style w:styleId="Style_17_ch" w:type="character">
    <w:name w:val="List"/>
    <w:basedOn w:val="Style_2_ch"/>
    <w:link w:val="Style_17"/>
    <w:rPr>
      <w:rFonts w:ascii="PT Astra Serif" w:hAnsi="PT Astra Serif"/>
    </w:rPr>
  </w:style>
  <w:style w:styleId="Style_18" w:type="paragraph">
    <w:name w:val="toc 3"/>
    <w:next w:val="Style_3"/>
    <w:link w:val="Style_18_ch"/>
    <w:uiPriority w:val="39"/>
    <w:pPr>
      <w:widowControl w:val="1"/>
      <w:spacing w:afterAutospacing="on" w:beforeAutospacing="on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3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Contents 4"/>
    <w:link w:val="Style_19_ch"/>
    <w:rPr>
      <w:rFonts w:ascii="XO Thames" w:hAnsi="XO Thames"/>
      <w:sz w:val="28"/>
    </w:rPr>
  </w:style>
  <w:style w:styleId="Style_19_ch" w:type="character">
    <w:name w:val="Contents 4"/>
    <w:link w:val="Style_19"/>
    <w:rPr>
      <w:rFonts w:ascii="XO Thames" w:hAnsi="XO Thames"/>
      <w:sz w:val="28"/>
    </w:rPr>
  </w:style>
  <w:style w:styleId="Style_20" w:type="paragraph">
    <w:name w:val="Caption"/>
    <w:basedOn w:val="Style_3"/>
    <w:link w:val="Style_20_ch"/>
    <w:pPr>
      <w:widowControl w:val="1"/>
      <w:spacing w:after="120" w:before="120"/>
      <w:ind/>
    </w:pPr>
    <w:rPr>
      <w:rFonts w:ascii="PT Astra Serif" w:hAnsi="PT Astra Serif"/>
      <w:i w:val="1"/>
      <w:sz w:val="24"/>
    </w:rPr>
  </w:style>
  <w:style w:styleId="Style_20_ch" w:type="character">
    <w:name w:val="Caption"/>
    <w:basedOn w:val="Style_3_ch"/>
    <w:link w:val="Style_20"/>
    <w:rPr>
      <w:rFonts w:ascii="PT Astra Serif" w:hAnsi="PT Astra Serif"/>
      <w:i w:val="1"/>
      <w:sz w:val="24"/>
    </w:rPr>
  </w:style>
  <w:style w:styleId="Style_2" w:type="paragraph">
    <w:name w:val="Body Text"/>
    <w:basedOn w:val="Style_3"/>
    <w:link w:val="Style_2_ch"/>
    <w:pPr>
      <w:widowControl w:val="1"/>
      <w:spacing w:after="140" w:before="0" w:line="276" w:lineRule="auto"/>
      <w:ind/>
    </w:pPr>
  </w:style>
  <w:style w:styleId="Style_2_ch" w:type="character">
    <w:name w:val="Body Text"/>
    <w:basedOn w:val="Style_3_ch"/>
    <w:link w:val="Style_2"/>
  </w:style>
  <w:style w:styleId="Style_21" w:type="paragraph">
    <w:name w:val="Интернет-ссылка"/>
    <w:link w:val="Style_21_ch"/>
    <w:rPr>
      <w:color w:val="0000FF"/>
      <w:u w:val="single"/>
    </w:rPr>
  </w:style>
  <w:style w:styleId="Style_21_ch" w:type="character">
    <w:name w:val="Интернет-ссылка"/>
    <w:link w:val="Style_21"/>
    <w:rPr>
      <w:color w:val="0000FF"/>
      <w:u w:val="single"/>
    </w:rPr>
  </w:style>
  <w:style w:styleId="Style_22" w:type="paragraph">
    <w:name w:val="heading 5"/>
    <w:next w:val="Style_3"/>
    <w:link w:val="Style_2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2_ch" w:type="character">
    <w:name w:val="heading 5"/>
    <w:link w:val="Style_22"/>
    <w:rPr>
      <w:rFonts w:ascii="XO Thames" w:hAnsi="XO Thames"/>
      <w:b w:val="1"/>
      <w:color w:val="000000"/>
      <w:spacing w:val="0"/>
      <w:sz w:val="22"/>
    </w:rPr>
  </w:style>
  <w:style w:styleId="Style_23" w:type="paragraph">
    <w:name w:val="Указатель"/>
    <w:basedOn w:val="Style_3"/>
    <w:link w:val="Style_23_ch"/>
    <w:rPr>
      <w:rFonts w:ascii="PT Astra Serif" w:hAnsi="PT Astra Serif"/>
    </w:rPr>
  </w:style>
  <w:style w:styleId="Style_23_ch" w:type="character">
    <w:name w:val="Указатель"/>
    <w:basedOn w:val="Style_3_ch"/>
    <w:link w:val="Style_23"/>
    <w:rPr>
      <w:rFonts w:ascii="PT Astra Serif" w:hAnsi="PT Astra Serif"/>
    </w:rPr>
  </w:style>
  <w:style w:styleId="Style_24" w:type="paragraph">
    <w:name w:val="heading 1"/>
    <w:basedOn w:val="Style_3"/>
    <w:next w:val="Style_3"/>
    <w:link w:val="Style_24_ch"/>
    <w:uiPriority w:val="9"/>
    <w:qFormat/>
    <w:pPr>
      <w:keepNext w:val="1"/>
      <w:keepLines w:val="1"/>
      <w:widowControl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4_ch" w:type="character">
    <w:name w:val="heading 1"/>
    <w:basedOn w:val="Style_3_ch"/>
    <w:link w:val="Style_24"/>
    <w:rPr>
      <w:rFonts w:asciiTheme="majorAscii" w:hAnsiTheme="majorHAnsi"/>
      <w:b w:val="1"/>
      <w:color w:themeColor="accent1" w:themeShade="BF" w:val="376092"/>
      <w:sz w:val="28"/>
    </w:rPr>
  </w:style>
  <w:style w:styleId="Style_25" w:type="paragraph">
    <w:name w:val="ConsPlusNormal"/>
    <w:link w:val="Style_25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5_ch" w:type="character">
    <w:name w:val="ConsPlusNormal"/>
    <w:link w:val="Style_25"/>
    <w:rPr>
      <w:rFonts w:ascii="Times New Roman" w:hAnsi="Times New Roman"/>
      <w:color w:val="000000"/>
      <w:spacing w:val="0"/>
      <w:sz w:val="28"/>
    </w:rPr>
  </w:style>
  <w:style w:styleId="Style_26" w:type="paragraph">
    <w:name w:val="Hyperlink"/>
    <w:link w:val="Style_26_ch"/>
    <w:pPr>
      <w:widowControl w:val="1"/>
      <w:spacing w:afterAutospacing="on" w:beforeAutospacing="on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2"/>
      <w:u w:val="single"/>
    </w:rPr>
  </w:style>
  <w:style w:styleId="Style_26_ch" w:type="character">
    <w:name w:val="Hyperlink"/>
    <w:link w:val="Style_26"/>
    <w:rPr>
      <w:rFonts w:ascii="Times New Roman" w:hAnsi="Times New Roman"/>
      <w:color w:val="0000FF"/>
      <w:spacing w:val="0"/>
      <w:sz w:val="22"/>
      <w:u w:val="single"/>
    </w:rPr>
  </w:style>
  <w:style w:styleId="Style_27" w:type="paragraph">
    <w:name w:val="Footnote"/>
    <w:link w:val="Style_27_ch"/>
    <w:pPr>
      <w:widowControl w:val="1"/>
      <w:spacing w:afterAutospacing="on" w:beforeAutospacing="on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7_ch" w:type="character">
    <w:name w:val="Footnote"/>
    <w:link w:val="Style_27"/>
    <w:rPr>
      <w:rFonts w:ascii="XO Thames" w:hAnsi="XO Thames"/>
      <w:color w:val="000000"/>
      <w:spacing w:val="0"/>
      <w:sz w:val="22"/>
    </w:rPr>
  </w:style>
  <w:style w:styleId="Style_28" w:type="paragraph">
    <w:name w:val="Заголовок"/>
    <w:basedOn w:val="Style_3"/>
    <w:next w:val="Style_2"/>
    <w:link w:val="Style_28_ch"/>
    <w:pPr>
      <w:keepNext w:val="1"/>
      <w:widowControl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Заголовок"/>
    <w:basedOn w:val="Style_3_ch"/>
    <w:link w:val="Style_28"/>
    <w:rPr>
      <w:rFonts w:ascii="PT Astra Serif" w:hAnsi="PT Astra Serif"/>
      <w:sz w:val="28"/>
    </w:rPr>
  </w:style>
  <w:style w:styleId="Style_29" w:type="paragraph">
    <w:name w:val="toc 1"/>
    <w:next w:val="Style_3"/>
    <w:link w:val="Style_29_ch"/>
    <w:uiPriority w:val="39"/>
    <w:pPr>
      <w:widowControl w:val="1"/>
      <w:spacing w:afterAutospacing="on" w:beforeAutospacing="on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9_ch" w:type="character">
    <w:name w:val="toc 1"/>
    <w:link w:val="Style_29"/>
    <w:rPr>
      <w:rFonts w:ascii="XO Thames" w:hAnsi="XO Thames"/>
      <w:b w:val="1"/>
      <w:color w:val="000000"/>
      <w:spacing w:val="0"/>
      <w:sz w:val="28"/>
    </w:rPr>
  </w:style>
  <w:style w:styleId="Style_30" w:type="paragraph">
    <w:name w:val="Header and Footer"/>
    <w:link w:val="Style_30_ch"/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Contents 5"/>
    <w:link w:val="Style_31_ch"/>
    <w:rPr>
      <w:rFonts w:ascii="XO Thames" w:hAnsi="XO Thames"/>
      <w:sz w:val="28"/>
    </w:rPr>
  </w:style>
  <w:style w:styleId="Style_31_ch" w:type="character">
    <w:name w:val="Contents 5"/>
    <w:link w:val="Style_31"/>
    <w:rPr>
      <w:rFonts w:ascii="XO Thames" w:hAnsi="XO Thames"/>
      <w:sz w:val="28"/>
    </w:rPr>
  </w:style>
  <w:style w:styleId="Style_32" w:type="paragraph">
    <w:name w:val="Title"/>
    <w:next w:val="Style_3"/>
    <w:link w:val="Style_32_ch"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color w:val="000000"/>
      <w:spacing w:val="0"/>
      <w:sz w:val="40"/>
    </w:rPr>
  </w:style>
  <w:style w:styleId="Style_33" w:type="paragraph">
    <w:name w:val="Contents 2"/>
    <w:link w:val="Style_33_ch"/>
    <w:rPr>
      <w:rFonts w:ascii="XO Thames" w:hAnsi="XO Thames"/>
      <w:sz w:val="28"/>
    </w:rPr>
  </w:style>
  <w:style w:styleId="Style_33_ch" w:type="character">
    <w:name w:val="Contents 2"/>
    <w:link w:val="Style_33"/>
    <w:rPr>
      <w:rFonts w:ascii="XO Thames" w:hAnsi="XO Thames"/>
      <w:sz w:val="28"/>
    </w:rPr>
  </w:style>
  <w:style w:styleId="Style_34" w:type="paragraph">
    <w:name w:val="toc 9"/>
    <w:next w:val="Style_3"/>
    <w:link w:val="Style_34_ch"/>
    <w:uiPriority w:val="39"/>
    <w:pPr>
      <w:widowControl w:val="1"/>
      <w:spacing w:afterAutospacing="on" w:beforeAutospacing="on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toc 9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Колонтитул"/>
    <w:link w:val="Style_35_ch"/>
    <w:pPr>
      <w:widowControl w:val="1"/>
      <w:spacing w:afterAutospacing="on" w:beforeAutospacing="on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35_ch" w:type="character">
    <w:name w:val="Колонтитул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Heading 3"/>
    <w:link w:val="Style_36_ch"/>
    <w:rPr>
      <w:rFonts w:ascii="XO Thames" w:hAnsi="XO Thames"/>
      <w:b w:val="1"/>
      <w:sz w:val="26"/>
    </w:rPr>
  </w:style>
  <w:style w:styleId="Style_36_ch" w:type="character">
    <w:name w:val="Heading 3"/>
    <w:link w:val="Style_36"/>
    <w:rPr>
      <w:rFonts w:ascii="XO Thames" w:hAnsi="XO Thames"/>
      <w:b w:val="1"/>
      <w:sz w:val="26"/>
    </w:rPr>
  </w:style>
  <w:style w:styleId="Style_37" w:type="paragraph">
    <w:name w:val="Footer"/>
    <w:link w:val="Style_37_ch"/>
  </w:style>
  <w:style w:styleId="Style_37_ch" w:type="character">
    <w:name w:val="Footer"/>
    <w:link w:val="Style_37"/>
  </w:style>
  <w:style w:styleId="Style_38" w:type="paragraph">
    <w:name w:val="toc 8"/>
    <w:next w:val="Style_3"/>
    <w:link w:val="Style_38_ch"/>
    <w:uiPriority w:val="39"/>
    <w:pPr>
      <w:widowControl w:val="1"/>
      <w:spacing w:afterAutospacing="on" w:beforeAutospacing="on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8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Contents 1"/>
    <w:link w:val="Style_39_ch"/>
    <w:rPr>
      <w:rFonts w:ascii="XO Thames" w:hAnsi="XO Thames"/>
      <w:b w:val="1"/>
      <w:sz w:val="28"/>
    </w:rPr>
  </w:style>
  <w:style w:styleId="Style_39_ch" w:type="character">
    <w:name w:val="Contents 1"/>
    <w:link w:val="Style_39"/>
    <w:rPr>
      <w:rFonts w:ascii="XO Thames" w:hAnsi="XO Thames"/>
      <w:b w:val="1"/>
      <w:sz w:val="28"/>
    </w:rPr>
  </w:style>
  <w:style w:styleId="Style_40" w:type="paragraph">
    <w:name w:val="Heading 1"/>
    <w:link w:val="Style_40_ch"/>
    <w:rPr>
      <w:rFonts w:asciiTheme="majorAscii" w:hAnsiTheme="majorHAnsi"/>
      <w:b w:val="1"/>
      <w:color w:themeColor="accent1" w:themeShade="BF" w:val="376092"/>
      <w:sz w:val="28"/>
    </w:rPr>
  </w:style>
  <w:style w:styleId="Style_40_ch" w:type="character">
    <w:name w:val="Heading 1"/>
    <w:link w:val="Style_40"/>
    <w:rPr>
      <w:rFonts w:asciiTheme="majorAscii" w:hAnsiTheme="majorHAnsi"/>
      <w:b w:val="1"/>
      <w:color w:themeColor="accent1" w:themeShade="BF" w:val="376092"/>
      <w:sz w:val="28"/>
    </w:rPr>
  </w:style>
  <w:style w:styleId="Style_41" w:type="paragraph">
    <w:name w:val="Heading 4"/>
    <w:link w:val="Style_41_ch"/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Contents 6"/>
    <w:link w:val="Style_42_ch"/>
    <w:rPr>
      <w:rFonts w:ascii="XO Thames" w:hAnsi="XO Thames"/>
      <w:sz w:val="28"/>
    </w:rPr>
  </w:style>
  <w:style w:styleId="Style_42_ch" w:type="character">
    <w:name w:val="Contents 6"/>
    <w:link w:val="Style_42"/>
    <w:rPr>
      <w:rFonts w:ascii="XO Thames" w:hAnsi="XO Thames"/>
      <w:sz w:val="28"/>
    </w:rPr>
  </w:style>
  <w:style w:styleId="Style_43" w:type="paragraph">
    <w:name w:val="toc 5"/>
    <w:next w:val="Style_3"/>
    <w:link w:val="Style_43_ch"/>
    <w:uiPriority w:val="39"/>
    <w:pPr>
      <w:widowControl w:val="1"/>
      <w:spacing w:afterAutospacing="on" w:beforeAutospacing="on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5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Contents 8"/>
    <w:link w:val="Style_44_ch"/>
    <w:rPr>
      <w:rFonts w:ascii="XO Thames" w:hAnsi="XO Thames"/>
      <w:sz w:val="28"/>
    </w:rPr>
  </w:style>
  <w:style w:styleId="Style_44_ch" w:type="character">
    <w:name w:val="Contents 8"/>
    <w:link w:val="Style_44"/>
    <w:rPr>
      <w:rFonts w:ascii="XO Thames" w:hAnsi="XO Thames"/>
      <w:sz w:val="28"/>
    </w:rPr>
  </w:style>
  <w:style w:styleId="Style_45" w:type="paragraph">
    <w:name w:val="Footer"/>
    <w:basedOn w:val="Style_3"/>
    <w:link w:val="Style_45_ch"/>
    <w:pPr>
      <w:widowControl w:val="1"/>
      <w:tabs>
        <w:tab w:leader="none" w:pos="720" w:val="clear"/>
        <w:tab w:leader="none" w:pos="4677" w:val="center"/>
        <w:tab w:leader="none" w:pos="9355" w:val="right"/>
      </w:tabs>
      <w:spacing w:after="0" w:before="0"/>
      <w:ind/>
    </w:pPr>
  </w:style>
  <w:style w:styleId="Style_45_ch" w:type="character">
    <w:name w:val="Footer"/>
    <w:basedOn w:val="Style_3_ch"/>
    <w:link w:val="Style_45"/>
  </w:style>
  <w:style w:styleId="Style_46" w:type="paragraph">
    <w:name w:val="Heading 2"/>
    <w:link w:val="Style_46_ch"/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paragraph">
    <w:name w:val="Subtitle"/>
    <w:link w:val="Style_47_ch"/>
    <w:uiPriority w:val="11"/>
    <w:qFormat/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Title"/>
    <w:link w:val="Style_48_ch"/>
    <w:uiPriority w:val="10"/>
    <w:qFormat/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next w:val="Style_3"/>
    <w:link w:val="Style_4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9_ch" w:type="character">
    <w:name w:val="heading 4"/>
    <w:link w:val="Style_49"/>
    <w:rPr>
      <w:rFonts w:ascii="XO Thames" w:hAnsi="XO Thames"/>
      <w:b w:val="1"/>
      <w:color w:val="000000"/>
      <w:spacing w:val="0"/>
      <w:sz w:val="24"/>
    </w:rPr>
  </w:style>
  <w:style w:styleId="Style_50" w:type="paragraph">
    <w:name w:val="heading 2"/>
    <w:next w:val="Style_3"/>
    <w:link w:val="Style_5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0_ch" w:type="character">
    <w:name w:val="heading 2"/>
    <w:link w:val="Style_50"/>
    <w:rPr>
      <w:rFonts w:ascii="XO Thames" w:hAnsi="XO Thames"/>
      <w:b w:val="1"/>
      <w:color w:val="000000"/>
      <w:spacing w:val="0"/>
      <w:sz w:val="28"/>
    </w:rPr>
  </w:style>
  <w:style w:styleId="Style_1" w:type="paragraph">
    <w:name w:val="Header"/>
    <w:basedOn w:val="Style_3"/>
    <w:link w:val="Style_1_ch"/>
    <w:pPr>
      <w:widowControl w:val="1"/>
      <w:tabs>
        <w:tab w:leader="none" w:pos="720" w:val="clear"/>
        <w:tab w:leader="none" w:pos="4677" w:val="center"/>
        <w:tab w:leader="none" w:pos="9355" w:val="right"/>
      </w:tabs>
      <w:spacing w:after="0" w:before="0"/>
      <w:ind/>
    </w:pPr>
  </w:style>
  <w:style w:styleId="Style_1_ch" w:type="character">
    <w:name w:val="Header"/>
    <w:basedOn w:val="Style_3_ch"/>
    <w:link w:val="Style_1"/>
  </w:style>
  <w:style w:styleId="Style_51" w:type="paragraph">
    <w:name w:val="Header"/>
    <w:link w:val="Style_51_ch"/>
  </w:style>
  <w:style w:styleId="Style_51_ch" w:type="character">
    <w:name w:val="Header"/>
    <w:link w:val="Style_51"/>
  </w:style>
  <w:style w:styleId="Style_52" w:type="paragraph">
    <w:name w:val="Heading 5"/>
    <w:link w:val="Style_52_ch"/>
    <w:rPr>
      <w:rFonts w:ascii="XO Thames" w:hAnsi="XO Thames"/>
      <w:b w:val="1"/>
      <w:sz w:val="22"/>
    </w:rPr>
  </w:style>
  <w:style w:styleId="Style_52_ch" w:type="character">
    <w:name w:val="Heading 5"/>
    <w:link w:val="Style_52"/>
    <w:rPr>
      <w:rFonts w:ascii="XO Thames" w:hAnsi="XO Thames"/>
      <w:b w:val="1"/>
      <w:sz w:val="22"/>
    </w:rPr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2025-07-30T16:14:24Z</dcterms:created>
  <dcterms:modified xsi:type="dcterms:W3CDTF">2025-08-08T00:47:36Z</dcterms:modified>
</cp:coreProperties>
</file>