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widowControl w:val="0"/>
        <w:spacing w:after="0" w:line="240" w:lineRule="auto"/>
        <w:ind/>
        <w:jc w:val="right"/>
      </w:pPr>
      <w:r>
        <w:rPr>
          <w:rFonts w:ascii="Times New Roman" w:hAnsi="Times New Roman"/>
          <w:color w:val="302709"/>
          <w:sz w:val="24"/>
        </w:rPr>
        <w:t>Приложение к приказу</w:t>
      </w:r>
    </w:p>
    <w:p w14:paraId="03000000">
      <w:pPr>
        <w:widowControl w:val="0"/>
        <w:spacing w:after="0" w:line="240" w:lineRule="auto"/>
        <w:ind/>
        <w:jc w:val="right"/>
      </w:pPr>
      <w:r>
        <w:t>Министерства труда и социального развития</w:t>
      </w:r>
    </w:p>
    <w:p w14:paraId="04000000">
      <w:pPr>
        <w:widowControl w:val="0"/>
        <w:spacing w:after="0" w:line="240" w:lineRule="auto"/>
        <w:ind/>
        <w:jc w:val="right"/>
      </w:pPr>
      <w:r>
        <w:t>Республики Саха (Якутия)</w:t>
      </w:r>
    </w:p>
    <w:p w14:paraId="05000000">
      <w:pPr>
        <w:widowControl w:val="0"/>
        <w:spacing w:after="0" w:line="240" w:lineRule="auto"/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</w:rPr>
        <w:t>от __15.08.2025 №_1188-од</w:t>
      </w:r>
    </w:p>
    <w:p w14:paraId="06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7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Порядок</w:t>
      </w:r>
    </w:p>
    <w:p w14:paraId="08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учёта и действий при наступлении нежелательного события (инцидента)</w:t>
      </w:r>
    </w:p>
    <w:p w14:paraId="09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00000">
      <w:pPr>
        <w:pStyle w:val="Style_2"/>
        <w:widowControl w:val="0"/>
        <w:numPr>
          <w:ilvl w:val="0"/>
          <w:numId w:val="1"/>
        </w:numPr>
        <w:spacing w:after="0" w:line="240" w:lineRule="auto"/>
        <w:ind w:hanging="11" w:left="-142"/>
        <w:contextualSpacing w:val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Общие положения</w:t>
      </w:r>
    </w:p>
    <w:p w14:paraId="0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Вопросы обеспечения безопасности получателей социальных услуг (далее – ПСУ) и работников </w:t>
      </w:r>
      <w:bookmarkStart w:id="1" w:name="_Hlk204695966"/>
      <w:r>
        <w:rPr>
          <w:rFonts w:ascii="Times New Roman" w:hAnsi="Times New Roman"/>
          <w:i w:val="1"/>
          <w:sz w:val="28"/>
        </w:rPr>
        <w:t>«наименование учреждения»</w:t>
      </w:r>
      <w:bookmarkEnd w:id="1"/>
      <w:r>
        <w:rPr>
          <w:rFonts w:ascii="Times New Roman" w:hAnsi="Times New Roman"/>
          <w:sz w:val="28"/>
        </w:rPr>
        <w:t xml:space="preserve"> (далее – Учреждение) являются приоритетными при осуществлении социального обслуживания</w:t>
      </w:r>
      <w:r>
        <w:rPr>
          <w:rFonts w:ascii="Times New Roman" w:hAnsi="Times New Roman"/>
          <w:sz w:val="28"/>
        </w:rPr>
        <w:t>. Для систематического и непрерывного улучше</w:t>
      </w:r>
      <w:r>
        <w:rPr>
          <w:rFonts w:ascii="Times New Roman" w:hAnsi="Times New Roman"/>
          <w:sz w:val="28"/>
        </w:rPr>
        <w:t xml:space="preserve">ния качества и безопасности оказания социальных услуг необходим полноценный анализ причин возникновения нежелательных событий (инцидентов) и выработка мероприятий, направленных на недопущение их повторения. </w:t>
      </w:r>
    </w:p>
    <w:p w14:paraId="0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Данный порядок определяет последовательность дей</w:t>
      </w:r>
      <w:r>
        <w:rPr>
          <w:rFonts w:ascii="Times New Roman" w:hAnsi="Times New Roman"/>
          <w:sz w:val="28"/>
        </w:rPr>
        <w:t>ствий сотрудников учреждения при наступлении нежелательного события (инцидента).</w:t>
      </w:r>
    </w:p>
    <w:p w14:paraId="0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Цель Порядка – совершенствование подходов при оказании социальных услуг от предотвращения нежелательных рисков, создающих угрозу жизни и здоровью получателя социальных услуг </w:t>
      </w:r>
      <w:r>
        <w:rPr>
          <w:rFonts w:ascii="Times New Roman" w:hAnsi="Times New Roman"/>
          <w:sz w:val="28"/>
        </w:rPr>
        <w:t>и сотрудников, минимизации последствий их наступления.</w:t>
      </w:r>
      <w:r>
        <w:rPr>
          <w:rFonts w:ascii="Times New Roman" w:hAnsi="Times New Roman"/>
          <w:sz w:val="28"/>
        </w:rPr>
        <w:br/>
      </w:r>
    </w:p>
    <w:p w14:paraId="0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Задачи:</w:t>
      </w:r>
    </w:p>
    <w:p w14:paraId="0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Выявление и регистрация инцидентов в Учреждении.</w:t>
      </w:r>
    </w:p>
    <w:p w14:paraId="1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Анализ инцидентов.</w:t>
      </w:r>
    </w:p>
    <w:p w14:paraId="1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Разработка системных мер, способствующих снижению риска повтора инцидента.</w:t>
      </w:r>
    </w:p>
    <w:p w14:paraId="1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Контроль выполнения корректирующих ме</w:t>
      </w:r>
      <w:r>
        <w:rPr>
          <w:rFonts w:ascii="Times New Roman" w:hAnsi="Times New Roman"/>
          <w:sz w:val="28"/>
        </w:rPr>
        <w:t>роприятий.</w:t>
      </w:r>
    </w:p>
    <w:p w14:paraId="13000000">
      <w:pPr>
        <w:widowControl w:val="0"/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8"/>
        </w:rPr>
      </w:pPr>
    </w:p>
    <w:p w14:paraId="14000000">
      <w:pPr>
        <w:pStyle w:val="Style_2"/>
        <w:widowControl w:val="0"/>
        <w:numPr>
          <w:ilvl w:val="0"/>
          <w:numId w:val="1"/>
        </w:numPr>
        <w:spacing w:after="0" w:line="240" w:lineRule="auto"/>
        <w:ind w:hanging="11" w:left="0"/>
        <w:contextualSpacing w:val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Основные термины, использованные в Порядке</w:t>
      </w:r>
    </w:p>
    <w:p w14:paraId="15000000">
      <w:pPr>
        <w:pStyle w:val="Style_2"/>
        <w:widowControl w:val="0"/>
        <w:spacing w:after="0" w:line="240" w:lineRule="auto"/>
        <w:ind w:firstLine="0" w:left="0"/>
        <w:contextualSpacing w:val="0"/>
        <w:rPr>
          <w:rFonts w:ascii="Times New Roman" w:hAnsi="Times New Roman"/>
          <w:b w:val="1"/>
          <w:sz w:val="28"/>
        </w:rPr>
      </w:pPr>
    </w:p>
    <w:p w14:paraId="16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Инцидент (Нежелательное событие) </w:t>
      </w:r>
      <w:r>
        <w:rPr>
          <w:rFonts w:ascii="Times New Roman" w:hAnsi="Times New Roman"/>
          <w:sz w:val="28"/>
        </w:rPr>
        <w:t>– факт и обстоятельства, создающие угрозу причинения или повлекшие причинение вреда жизни и здоровью ПСУ и персонала учреждения</w:t>
      </w:r>
      <w:r>
        <w:rPr>
          <w:rFonts w:ascii="Times New Roman" w:hAnsi="Times New Roman"/>
          <w:sz w:val="28"/>
        </w:rPr>
        <w:t>, а также, приведшие к увеличению сроков предоставления социальн</w:t>
      </w:r>
      <w:r>
        <w:rPr>
          <w:rFonts w:ascii="Times New Roman" w:hAnsi="Times New Roman"/>
          <w:sz w:val="28"/>
        </w:rPr>
        <w:t xml:space="preserve">ых </w:t>
      </w:r>
      <w:r>
        <w:rPr>
          <w:rFonts w:ascii="Times New Roman" w:hAnsi="Times New Roman"/>
          <w:sz w:val="28"/>
        </w:rPr>
        <w:t xml:space="preserve">услуг. </w:t>
      </w:r>
      <w:r>
        <w:rPr>
          <w:rFonts w:ascii="Times New Roman" w:hAnsi="Times New Roman"/>
          <w:sz w:val="28"/>
        </w:rPr>
        <w:t>К инцидентам относят потенциальную ошибку, ошибку, экстремальное событие.</w:t>
      </w:r>
    </w:p>
    <w:p w14:paraId="17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Потенциальная ошибка или почти ошибка </w:t>
      </w:r>
      <w:bookmarkStart w:id="2" w:name="_Hlk192681985"/>
      <w:r>
        <w:rPr>
          <w:rFonts w:ascii="Times New Roman" w:hAnsi="Times New Roman"/>
          <w:sz w:val="28"/>
        </w:rPr>
        <w:t>–</w:t>
      </w:r>
      <w:bookmarkEnd w:id="2"/>
      <w:r>
        <w:rPr>
          <w:rFonts w:ascii="Times New Roman" w:hAnsi="Times New Roman"/>
          <w:sz w:val="28"/>
        </w:rPr>
        <w:t xml:space="preserve"> любой процесс или отклонение, которое не повлияло на жиз</w:t>
      </w:r>
      <w:r>
        <w:rPr>
          <w:rFonts w:ascii="Times New Roman" w:hAnsi="Times New Roman"/>
          <w:sz w:val="28"/>
        </w:rPr>
        <w:t>нь и здоровье ПСУ, но его повторение несет высокий риск неблагоприятного события (нанесения вреда ПСУ</w:t>
      </w:r>
      <w:r>
        <w:rPr>
          <w:rFonts w:ascii="Times New Roman" w:hAnsi="Times New Roman"/>
          <w:sz w:val="28"/>
        </w:rPr>
        <w:t xml:space="preserve"> или персоналу</w:t>
      </w:r>
      <w:r>
        <w:rPr>
          <w:rFonts w:ascii="Times New Roman" w:hAnsi="Times New Roman"/>
          <w:sz w:val="28"/>
        </w:rPr>
        <w:t>).</w:t>
      </w:r>
    </w:p>
    <w:p w14:paraId="18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Ошибка</w:t>
      </w:r>
      <w:r>
        <w:rPr>
          <w:rFonts w:ascii="Times New Roman" w:hAnsi="Times New Roman"/>
          <w:sz w:val="28"/>
        </w:rPr>
        <w:t xml:space="preserve"> – это вид инцидента, когда ошибка случилась и неблагоприятно повлияла на качество оказания социальных услуг, либо на безопасность ПСУ</w:t>
      </w:r>
      <w:r>
        <w:rPr>
          <w:rFonts w:ascii="Times New Roman" w:hAnsi="Times New Roman"/>
          <w:sz w:val="28"/>
        </w:rPr>
        <w:t>, персонала</w:t>
      </w:r>
      <w:r>
        <w:rPr>
          <w:rFonts w:ascii="Times New Roman" w:hAnsi="Times New Roman"/>
          <w:sz w:val="28"/>
        </w:rPr>
        <w:t xml:space="preserve"> в результат</w:t>
      </w:r>
      <w:r>
        <w:rPr>
          <w:rFonts w:ascii="Times New Roman" w:hAnsi="Times New Roman"/>
          <w:sz w:val="28"/>
        </w:rPr>
        <w:t xml:space="preserve">е неправильного действия, бездействия или излишнего действия </w:t>
      </w:r>
      <w:r>
        <w:rPr>
          <w:rFonts w:ascii="Times New Roman" w:hAnsi="Times New Roman"/>
          <w:sz w:val="28"/>
        </w:rPr>
        <w:t xml:space="preserve">ПСУ, </w:t>
      </w:r>
      <w:r>
        <w:rPr>
          <w:rFonts w:ascii="Times New Roman" w:hAnsi="Times New Roman"/>
          <w:sz w:val="28"/>
        </w:rPr>
        <w:t>персонала или оборудования. Ошибка может быть без вреда или с причинением вреда ПСУ, сотрудниками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 w:val="1"/>
          <w:sz w:val="28"/>
        </w:rPr>
        <w:t>примеры:</w:t>
      </w:r>
      <w:r>
        <w:rPr>
          <w:rFonts w:ascii="Times New Roman" w:hAnsi="Times New Roman"/>
          <w:sz w:val="28"/>
        </w:rPr>
        <w:t xml:space="preserve"> отравление ПСУ в результате использования просроченных продуктов при приготовлении пи</w:t>
      </w:r>
      <w:r>
        <w:rPr>
          <w:rFonts w:ascii="Times New Roman" w:hAnsi="Times New Roman"/>
          <w:sz w:val="28"/>
        </w:rPr>
        <w:t>щи, в результате ненадлежащего хранения продуктов питания; оставление ПСУ в заведомо беспомощном состоянии; падение с лестницы, не соответствующей стандартным требованиям, падение с высоты собственного роста; падение с кровати; падение с медицинской кроват</w:t>
      </w:r>
      <w:r>
        <w:rPr>
          <w:rFonts w:ascii="Times New Roman" w:hAnsi="Times New Roman"/>
          <w:sz w:val="28"/>
        </w:rPr>
        <w:t>и для лежачих ПСУ; падение при пользовании ТСР (</w:t>
      </w:r>
      <w:r>
        <w:rPr>
          <w:rFonts w:ascii="Times New Roman" w:hAnsi="Times New Roman"/>
          <w:sz w:val="28"/>
          <w:highlight w:val="white"/>
        </w:rPr>
        <w:t>техническое средство реабилитации</w:t>
      </w:r>
      <w:r>
        <w:rPr>
          <w:rFonts w:ascii="Times New Roman" w:hAnsi="Times New Roman"/>
          <w:sz w:val="28"/>
        </w:rPr>
        <w:t xml:space="preserve">); </w:t>
      </w:r>
      <w:r>
        <w:rPr>
          <w:rFonts w:ascii="Times New Roman" w:hAnsi="Times New Roman"/>
          <w:sz w:val="28"/>
        </w:rPr>
        <w:t>обморожение частей тела, под воздействием низких температур в зимний период; ожог</w:t>
      </w:r>
      <w:r>
        <w:rPr>
          <w:rFonts w:ascii="Times New Roman" w:hAnsi="Times New Roman"/>
          <w:sz w:val="28"/>
          <w:highlight w:val="white"/>
        </w:rPr>
        <w:t xml:space="preserve">; </w:t>
      </w:r>
      <w:r>
        <w:rPr>
          <w:rFonts w:ascii="Times New Roman" w:hAnsi="Times New Roman"/>
          <w:sz w:val="28"/>
        </w:rPr>
        <w:t>обезвоживание организма в летнее время и при жаркой комнатной температуре; серьезный вред</w:t>
      </w:r>
      <w:r>
        <w:rPr>
          <w:rFonts w:ascii="Times New Roman" w:hAnsi="Times New Roman"/>
          <w:sz w:val="28"/>
        </w:rPr>
        <w:t xml:space="preserve"> здоровью в результате ошибочного применения лекарственных средств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применения реабилитационного и физиотерапевтического оборудования; вспышка инфекции).</w:t>
      </w:r>
    </w:p>
    <w:p w14:paraId="19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Экстремальное событие или чрезвычайное событие</w:t>
      </w:r>
      <w:r>
        <w:rPr>
          <w:rFonts w:ascii="Times New Roman" w:hAnsi="Times New Roman"/>
          <w:sz w:val="28"/>
        </w:rPr>
        <w:t xml:space="preserve"> – это вид инцидента, повлекший значительный вред жизни и</w:t>
      </w:r>
      <w:r>
        <w:rPr>
          <w:rFonts w:ascii="Times New Roman" w:hAnsi="Times New Roman"/>
          <w:sz w:val="28"/>
        </w:rPr>
        <w:t xml:space="preserve"> здоровью ПСУ</w:t>
      </w:r>
      <w:r>
        <w:rPr>
          <w:rFonts w:ascii="Times New Roman" w:hAnsi="Times New Roman"/>
          <w:sz w:val="28"/>
        </w:rPr>
        <w:t>, персонала</w:t>
      </w:r>
      <w:r>
        <w:rPr>
          <w:rFonts w:ascii="Times New Roman" w:hAnsi="Times New Roman"/>
          <w:sz w:val="28"/>
        </w:rPr>
        <w:t>. К таким событиям относятся: смерть или инвалидность (в том числе потеря конечностей), или значительная психологическая травма, несвязанная с естественным течением заболевания; самоубийство</w:t>
      </w:r>
      <w:r>
        <w:rPr>
          <w:rFonts w:ascii="Times New Roman" w:hAnsi="Times New Roman"/>
          <w:sz w:val="28"/>
        </w:rPr>
        <w:t>, суицидальное поведение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психическим расстр</w:t>
      </w:r>
      <w:r>
        <w:rPr>
          <w:rFonts w:ascii="Times New Roman" w:hAnsi="Times New Roman"/>
          <w:sz w:val="28"/>
        </w:rPr>
        <w:t>ойств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sz w:val="28"/>
        </w:rPr>
        <w:t xml:space="preserve"> и без психического расстройства</w:t>
      </w:r>
      <w:r>
        <w:rPr>
          <w:rFonts w:ascii="Times New Roman" w:hAnsi="Times New Roman"/>
          <w:sz w:val="28"/>
        </w:rPr>
        <w:t>; самовольные уходы ПСУ; падение с высоты (самовольное падение с окна)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кража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подмена несовершеннолетнего; насилие (психологическое, физ</w:t>
      </w:r>
      <w:r>
        <w:rPr>
          <w:rFonts w:ascii="Times New Roman" w:hAnsi="Times New Roman"/>
          <w:sz w:val="28"/>
        </w:rPr>
        <w:t>ическое)</w:t>
      </w:r>
      <w:r>
        <w:rPr>
          <w:rFonts w:ascii="Times New Roman" w:hAnsi="Times New Roman"/>
          <w:sz w:val="28"/>
        </w:rPr>
        <w:t>; террористический акт, конфликт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(агрессивное поведение). </w:t>
      </w:r>
    </w:p>
    <w:p w14:paraId="1A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Администрация Учреждения осознает, что не все ошибки приводят к экстремальным событиям, и не все экстремальные соб</w:t>
      </w:r>
      <w:r>
        <w:rPr>
          <w:rFonts w:ascii="Times New Roman" w:hAnsi="Times New Roman"/>
          <w:sz w:val="28"/>
        </w:rPr>
        <w:t xml:space="preserve">ытия происходят только в результате ошибки, допущенной сотрудниками учреждения. </w:t>
      </w:r>
    </w:p>
    <w:p w14:paraId="1B000000">
      <w:pPr>
        <w:widowControl w:val="0"/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1C000000">
      <w:pPr>
        <w:pStyle w:val="Style_2"/>
        <w:widowControl w:val="0"/>
        <w:numPr>
          <w:ilvl w:val="0"/>
          <w:numId w:val="1"/>
        </w:numPr>
        <w:spacing w:after="0" w:line="240" w:lineRule="auto"/>
        <w:ind w:firstLine="131" w:left="0"/>
        <w:contextualSpacing w:val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Направления работы с инцидентом</w:t>
      </w:r>
    </w:p>
    <w:p w14:paraId="1D000000">
      <w:pPr>
        <w:pStyle w:val="Style_2"/>
        <w:widowControl w:val="0"/>
        <w:spacing w:after="0" w:line="240" w:lineRule="auto"/>
        <w:ind w:firstLine="0" w:left="131"/>
        <w:contextualSpacing w:val="0"/>
        <w:rPr>
          <w:rFonts w:ascii="Times New Roman" w:hAnsi="Times New Roman"/>
          <w:b w:val="1"/>
          <w:sz w:val="28"/>
        </w:rPr>
      </w:pPr>
    </w:p>
    <w:p w14:paraId="1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своевременной регистрации, анализа и корректировки нежелательных событий в Учреждении проводится (</w:t>
      </w:r>
      <w:r>
        <w:rPr>
          <w:rStyle w:val="Style_3_ch"/>
          <w:rFonts w:ascii="Times New Roman" w:hAnsi="Times New Roman"/>
          <w:color w:val="000000"/>
          <w:sz w:val="28"/>
          <w:u w:val="none"/>
        </w:rPr>
        <w:fldChar w:fldCharType="begin"/>
      </w:r>
      <w:r>
        <w:rPr>
          <w:rStyle w:val="Style_3_ch"/>
          <w:rFonts w:ascii="Times New Roman" w:hAnsi="Times New Roman"/>
          <w:color w:val="000000"/>
          <w:sz w:val="28"/>
          <w:u w:val="none"/>
        </w:rPr>
        <w:instrText>HYPERLINK \l "_Рисунок_1._Направления"</w:instrText>
      </w:r>
      <w:r>
        <w:rPr>
          <w:rStyle w:val="Style_3_ch"/>
          <w:rFonts w:ascii="Times New Roman" w:hAnsi="Times New Roman"/>
          <w:color w:val="000000"/>
          <w:sz w:val="28"/>
          <w:u w:val="none"/>
        </w:rPr>
        <w:fldChar w:fldCharType="separate"/>
      </w:r>
      <w:r>
        <w:rPr>
          <w:rStyle w:val="Style_3_ch"/>
          <w:rFonts w:ascii="Times New Roman" w:hAnsi="Times New Roman"/>
          <w:color w:val="000000"/>
          <w:sz w:val="28"/>
          <w:u w:val="none"/>
        </w:rPr>
        <w:t>ри</w:t>
      </w:r>
      <w:r>
        <w:rPr>
          <w:rStyle w:val="Style_3_ch"/>
          <w:rFonts w:ascii="Times New Roman" w:hAnsi="Times New Roman"/>
          <w:color w:val="000000"/>
          <w:sz w:val="28"/>
          <w:u w:val="none"/>
        </w:rPr>
        <w:t>сунок 1</w:t>
      </w:r>
      <w:r>
        <w:rPr>
          <w:rStyle w:val="Style_3_ch"/>
          <w:rFonts w:ascii="Times New Roman" w:hAnsi="Times New Roman"/>
          <w:color w:val="000000"/>
          <w:sz w:val="28"/>
          <w:u w:val="none"/>
        </w:rPr>
        <w:fldChar w:fldCharType="end"/>
      </w:r>
      <w:r>
        <w:rPr>
          <w:rFonts w:ascii="Times New Roman" w:hAnsi="Times New Roman"/>
          <w:sz w:val="28"/>
        </w:rPr>
        <w:t>):</w:t>
      </w:r>
    </w:p>
    <w:p w14:paraId="1F000000">
      <w:pPr>
        <w:widowControl w:val="0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bookmarkStart w:id="3" w:name="_gjdgxs"/>
      <w:bookmarkEnd w:id="3"/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Обучение. Сотрудники учреждения проходят обучение по существующей системе работы с инцидентами. Обучение проводится руководителем структурного подразделения, который должен обучать новых работников системе работы с инцидентами при </w:t>
      </w:r>
      <w:r>
        <w:rPr>
          <w:rFonts w:ascii="Times New Roman" w:hAnsi="Times New Roman"/>
          <w:sz w:val="28"/>
        </w:rPr>
        <w:t>проведении первичного и др. инструктажа на рабочем месте</w:t>
      </w:r>
      <w:r>
        <w:rPr>
          <w:rFonts w:ascii="Times New Roman" w:hAnsi="Times New Roman"/>
          <w:sz w:val="28"/>
        </w:rPr>
        <w:t>. Комиссия по внутреннему контролю качества и доступности социальных услуг в организациях социального обслуживания (далее – Комиссия) при обходах подразделений</w:t>
      </w:r>
      <w:r>
        <w:rPr>
          <w:rFonts w:ascii="Times New Roman" w:hAnsi="Times New Roman"/>
          <w:sz w:val="28"/>
        </w:rPr>
        <w:t xml:space="preserve"> проверяет знания сотрудников подразделен</w:t>
      </w:r>
      <w:r>
        <w:rPr>
          <w:rFonts w:ascii="Times New Roman" w:hAnsi="Times New Roman"/>
          <w:sz w:val="28"/>
        </w:rPr>
        <w:t>ия о работе с инцидентами. При необходимости члены Комиссии могут проводить обучение по данному вопросу.</w:t>
      </w:r>
    </w:p>
    <w:p w14:paraId="20000000">
      <w:pPr>
        <w:widowControl w:val="0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trike w:val="1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Сообщение. Сотрудники учреждения своевременно передают информацию об инцидентах, проблемах, потенциальных ошибках и неожиданных исходах. </w:t>
      </w:r>
    </w:p>
    <w:p w14:paraId="21000000">
      <w:pPr>
        <w:widowControl w:val="0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Анализ </w:t>
      </w:r>
      <w:r>
        <w:rPr>
          <w:rFonts w:ascii="Times New Roman" w:hAnsi="Times New Roman"/>
          <w:sz w:val="28"/>
        </w:rPr>
        <w:t>инцидента. Комиссия классифицирует инцидент и организует разбор инцидента на уровне заседания Комиссии или рабочих групп в зависимости от специфики и тяжести инцидента.</w:t>
      </w:r>
    </w:p>
    <w:p w14:paraId="22000000">
      <w:pPr>
        <w:widowControl w:val="0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проведении анализа причин инцидента используется метод, включающий оценку по следую</w:t>
      </w:r>
      <w:r>
        <w:rPr>
          <w:rFonts w:ascii="Times New Roman" w:hAnsi="Times New Roman"/>
          <w:sz w:val="28"/>
        </w:rPr>
        <w:t>щим категориям:</w:t>
      </w:r>
    </w:p>
    <w:p w14:paraId="23000000">
      <w:pPr>
        <w:pStyle w:val="Style_2"/>
        <w:widowControl w:val="0"/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131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Человеческий фактор. Ошибки конкретного человека;</w:t>
      </w:r>
    </w:p>
    <w:p w14:paraId="24000000">
      <w:pPr>
        <w:pStyle w:val="Style_2"/>
        <w:widowControl w:val="0"/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131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Любые проблемы, связанные с работой оборудования и технических систем;</w:t>
      </w:r>
    </w:p>
    <w:p w14:paraId="25000000">
      <w:pPr>
        <w:pStyle w:val="Style_2"/>
        <w:widowControl w:val="0"/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131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Окружение. Факторы окружающей среды, которые способствовали инциденту (например, жаркая погода летом и, как следствие, </w:t>
      </w:r>
      <w:r>
        <w:rPr>
          <w:rFonts w:ascii="Times New Roman" w:hAnsi="Times New Roman"/>
          <w:sz w:val="28"/>
        </w:rPr>
        <w:t>высокая температура в помещении);</w:t>
      </w:r>
    </w:p>
    <w:p w14:paraId="26000000">
      <w:pPr>
        <w:pStyle w:val="Style_2"/>
        <w:widowControl w:val="0"/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131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Специфические виды активности, включающие в себя элемент сложности задачи, возложенной на сотрудника;</w:t>
      </w:r>
    </w:p>
    <w:p w14:paraId="27000000">
      <w:pPr>
        <w:pStyle w:val="Style_2"/>
        <w:widowControl w:val="0"/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131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Управленческие аспекты (наличие инструкций по работе, полнота обучения персонала, система контроля и т. д.).</w:t>
      </w:r>
    </w:p>
    <w:p w14:paraId="28000000">
      <w:pPr>
        <w:widowControl w:val="0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Анализ причин возникновения инцидента позволяет определить направление корректирующих мероприятий. </w:t>
      </w:r>
    </w:p>
    <w:p w14:paraId="29000000">
      <w:pPr>
        <w:widowControl w:val="0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Корректирующие меры. Комиссия совместно с рабочими группами (при необходимости привлечения профильных специалистов) разрабатывает план корректирующих мер</w:t>
      </w:r>
      <w:r>
        <w:rPr>
          <w:rFonts w:ascii="Times New Roman" w:hAnsi="Times New Roman"/>
          <w:sz w:val="28"/>
        </w:rPr>
        <w:t>оприятий.</w:t>
      </w:r>
    </w:p>
    <w:p w14:paraId="2A000000">
      <w:pPr>
        <w:widowControl w:val="0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Обратная связь. Учреждение обеспечивает обратную связь с ПСУ или их законными представителями (при необходимости)</w:t>
      </w:r>
      <w:r>
        <w:rPr>
          <w:rFonts w:ascii="Times New Roman" w:hAnsi="Times New Roman"/>
          <w:sz w:val="28"/>
        </w:rPr>
        <w:t>, персоналом</w:t>
      </w:r>
      <w:r>
        <w:rPr>
          <w:rFonts w:ascii="Times New Roman" w:hAnsi="Times New Roman"/>
          <w:sz w:val="28"/>
        </w:rPr>
        <w:t xml:space="preserve"> о принятых мерах и результатах на каждом этапе. </w:t>
      </w:r>
    </w:p>
    <w:p w14:paraId="2B000000">
      <w:pPr>
        <w:widowControl w:val="0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Выполнение корректирующих мер. Ответственные лица выполняют ряд мер по устран</w:t>
      </w:r>
      <w:r>
        <w:rPr>
          <w:rFonts w:ascii="Times New Roman" w:hAnsi="Times New Roman"/>
          <w:sz w:val="28"/>
        </w:rPr>
        <w:t>ению и предотвращению инцидентов в рамках своей сферы контроля.</w:t>
      </w:r>
    </w:p>
    <w:p w14:paraId="2C000000">
      <w:pPr>
        <w:widowControl w:val="0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Контроль мер. Проводится оценка эффективности профилактических мер или процедурных изменений, направленных на устранение инцидента или уменьшение рисков их возникновения.</w:t>
      </w:r>
    </w:p>
    <w:p w14:paraId="2D000000">
      <w:pPr>
        <w:widowControl w:val="0"/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689443" cy="3448050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689443" cy="34480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pStyle w:val="Style_4"/>
        <w:widowControl w:val="0"/>
        <w:spacing w:before="0" w:line="240" w:lineRule="auto"/>
        <w:ind/>
        <w:jc w:val="center"/>
        <w:rPr>
          <w:rFonts w:ascii="Times New Roman" w:hAnsi="Times New Roman"/>
          <w:color w:val="000000"/>
          <w:sz w:val="24"/>
        </w:rPr>
      </w:pPr>
      <w:bookmarkStart w:id="4" w:name="_Рисунок_1._Направления"/>
      <w:bookmarkEnd w:id="4"/>
      <w:r>
        <w:rPr>
          <w:rFonts w:ascii="Times New Roman" w:hAnsi="Times New Roman"/>
          <w:color w:val="000000"/>
          <w:sz w:val="24"/>
        </w:rPr>
        <w:t>Рисунок 1. Напра</w:t>
      </w:r>
      <w:r>
        <w:rPr>
          <w:rFonts w:ascii="Times New Roman" w:hAnsi="Times New Roman"/>
          <w:color w:val="000000"/>
          <w:sz w:val="24"/>
        </w:rPr>
        <w:t>вления работы с инцидентом</w:t>
      </w:r>
    </w:p>
    <w:p w14:paraId="2F000000">
      <w:pPr>
        <w:widowControl w:val="0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0000000">
      <w:pPr>
        <w:pStyle w:val="Style_2"/>
        <w:widowControl w:val="0"/>
        <w:numPr>
          <w:ilvl w:val="0"/>
          <w:numId w:val="1"/>
        </w:numPr>
        <w:spacing w:after="0" w:line="240" w:lineRule="auto"/>
        <w:ind w:hanging="11" w:left="0"/>
        <w:contextualSpacing w:val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Методы и способы обнаружения инцидента:</w:t>
      </w:r>
    </w:p>
    <w:p w14:paraId="31000000">
      <w:pPr>
        <w:pStyle w:val="Style_2"/>
        <w:widowControl w:val="0"/>
        <w:spacing w:after="0" w:line="240" w:lineRule="auto"/>
        <w:ind w:firstLine="0" w:left="0"/>
        <w:contextualSpacing w:val="0"/>
        <w:rPr>
          <w:rFonts w:ascii="Times New Roman" w:hAnsi="Times New Roman"/>
          <w:b w:val="1"/>
          <w:sz w:val="28"/>
        </w:rPr>
      </w:pPr>
    </w:p>
    <w:p w14:paraId="32000000">
      <w:pPr>
        <w:widowControl w:val="0"/>
        <w:numPr>
          <w:ilvl w:val="0"/>
          <w:numId w:val="3"/>
        </w:numPr>
        <w:tabs>
          <w:tab w:leader="none" w:pos="851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 документации, оформленной при предоставлении социальных услуг.</w:t>
      </w:r>
    </w:p>
    <w:p w14:paraId="33000000">
      <w:pPr>
        <w:widowControl w:val="0"/>
        <w:numPr>
          <w:ilvl w:val="0"/>
          <w:numId w:val="3"/>
        </w:numPr>
        <w:tabs>
          <w:tab w:leader="none" w:pos="851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Опросы и анкетирования.</w:t>
      </w:r>
    </w:p>
    <w:p w14:paraId="34000000">
      <w:pPr>
        <w:widowControl w:val="0"/>
        <w:numPr>
          <w:ilvl w:val="0"/>
          <w:numId w:val="3"/>
        </w:numPr>
        <w:tabs>
          <w:tab w:leader="none" w:pos="851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Информирование руководител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получателями социальных услуг</w:t>
      </w:r>
      <w:r>
        <w:rPr>
          <w:rFonts w:ascii="Times New Roman" w:hAnsi="Times New Roman"/>
          <w:sz w:val="28"/>
        </w:rPr>
        <w:t>, персоналом</w:t>
      </w:r>
      <w:r>
        <w:rPr>
          <w:rFonts w:ascii="Times New Roman" w:hAnsi="Times New Roman"/>
          <w:sz w:val="28"/>
        </w:rPr>
        <w:t xml:space="preserve"> устно или в письменной форме (жалоб</w:t>
      </w:r>
      <w:r>
        <w:rPr>
          <w:rFonts w:ascii="Times New Roman" w:hAnsi="Times New Roman"/>
          <w:sz w:val="28"/>
        </w:rPr>
        <w:t>ы, обращения, отзывы и предложения).</w:t>
      </w:r>
    </w:p>
    <w:p w14:paraId="35000000">
      <w:pPr>
        <w:widowControl w:val="0"/>
        <w:numPr>
          <w:ilvl w:val="0"/>
          <w:numId w:val="3"/>
        </w:numPr>
        <w:tabs>
          <w:tab w:leader="none" w:pos="851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Внутренний и внешний аудит.</w:t>
      </w:r>
    </w:p>
    <w:p w14:paraId="36000000">
      <w:pPr>
        <w:widowControl w:val="0"/>
        <w:spacing w:after="0" w:line="240" w:lineRule="auto"/>
        <w:ind/>
        <w:rPr>
          <w:rFonts w:ascii="Times New Roman" w:hAnsi="Times New Roman"/>
          <w:b w:val="1"/>
          <w:strike w:val="1"/>
          <w:sz w:val="28"/>
          <w:highlight w:val="yellow"/>
        </w:rPr>
      </w:pPr>
    </w:p>
    <w:p w14:paraId="37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 Порядок действий сотрудников при возникновении инцидента</w:t>
      </w:r>
    </w:p>
    <w:p w14:paraId="38000000">
      <w:pPr>
        <w:widowControl w:val="0"/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8"/>
        </w:rPr>
      </w:pPr>
    </w:p>
    <w:p w14:paraId="39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выявлении инцидента в случаях </w:t>
      </w:r>
      <w:r>
        <w:rPr>
          <w:rFonts w:ascii="Times New Roman" w:hAnsi="Times New Roman"/>
          <w:sz w:val="28"/>
        </w:rPr>
        <w:t xml:space="preserve">причинения </w:t>
      </w:r>
      <w:r>
        <w:rPr>
          <w:rFonts w:ascii="Times New Roman" w:hAnsi="Times New Roman"/>
          <w:sz w:val="28"/>
        </w:rPr>
        <w:t>вред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человека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работник должен:</w:t>
      </w:r>
    </w:p>
    <w:p w14:paraId="3A000000">
      <w:pPr>
        <w:widowControl w:val="0"/>
        <w:numPr>
          <w:ilvl w:val="1"/>
          <w:numId w:val="4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Оценить общее физическое состояние ПСУ или сотрудника, насколько он нуждается в предоставлении срочной медицинской помощи (наличие пульса, дыхания, реакции зрачков на свет, сознания, травм и повреждений).</w:t>
      </w:r>
    </w:p>
    <w:p w14:paraId="3B000000">
      <w:pPr>
        <w:widowControl w:val="0"/>
        <w:numPr>
          <w:ilvl w:val="1"/>
          <w:numId w:val="4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</w:t>
      </w:r>
      <w:r>
        <w:rPr>
          <w:rFonts w:ascii="Times New Roman" w:hAnsi="Times New Roman"/>
          <w:sz w:val="28"/>
        </w:rPr>
        <w:t xml:space="preserve">чае, если помощь необходима – создать безопасные условия нахождения пострадавшего (обеспечить доступ кислорода, убрать опасные предметы), </w:t>
      </w:r>
      <w:r>
        <w:rPr>
          <w:rFonts w:ascii="Times New Roman" w:hAnsi="Times New Roman"/>
          <w:sz w:val="28"/>
        </w:rPr>
        <w:t>оказать первую помощь согласно Алгоритму последовательности выполнения мероприятий первой помощи, утвержденному приказ</w:t>
      </w:r>
      <w:r>
        <w:rPr>
          <w:rFonts w:ascii="Times New Roman" w:hAnsi="Times New Roman"/>
          <w:sz w:val="28"/>
        </w:rPr>
        <w:t xml:space="preserve">ом </w:t>
      </w:r>
      <w:r>
        <w:rPr>
          <w:rFonts w:ascii="Times New Roman" w:hAnsi="Times New Roman"/>
          <w:sz w:val="28"/>
        </w:rPr>
        <w:t>Минздравсоцразвития</w:t>
      </w:r>
      <w:r>
        <w:rPr>
          <w:rFonts w:ascii="Times New Roman" w:hAnsi="Times New Roman"/>
          <w:sz w:val="28"/>
        </w:rPr>
        <w:t xml:space="preserve"> России от 04.05.2012 № 477-н (</w:t>
      </w:r>
      <w:r>
        <w:rPr>
          <w:rStyle w:val="Style_3_ch"/>
          <w:rFonts w:ascii="Times New Roman" w:hAnsi="Times New Roman"/>
          <w:color w:val="000000"/>
          <w:sz w:val="28"/>
          <w:u w:val="none"/>
        </w:rPr>
        <w:t>рисунок 2</w:t>
      </w:r>
      <w:r>
        <w:rPr>
          <w:rFonts w:ascii="Times New Roman" w:hAnsi="Times New Roman"/>
          <w:sz w:val="28"/>
        </w:rPr>
        <w:t>).</w:t>
      </w:r>
    </w:p>
    <w:p w14:paraId="3C000000">
      <w:pPr>
        <w:widowControl w:val="0"/>
        <w:numPr>
          <w:ilvl w:val="1"/>
          <w:numId w:val="4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свидетелем инцидента оказался работник, не имеющий соответствующей подготовки – работник срочно сообщает о необходимости оказания доврачебной помощи компетентным работникам.</w:t>
      </w:r>
    </w:p>
    <w:p w14:paraId="3D000000">
      <w:pPr>
        <w:widowControl w:val="0"/>
        <w:numPr>
          <w:ilvl w:val="1"/>
          <w:numId w:val="4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Важно помнит</w:t>
      </w:r>
      <w:r>
        <w:rPr>
          <w:rFonts w:ascii="Times New Roman" w:hAnsi="Times New Roman"/>
          <w:sz w:val="28"/>
        </w:rPr>
        <w:t xml:space="preserve">ь: нельзя перемещать пострадавшего без необходимости, особенно при травмах позвоночника. Не давайте пострадавшему ничего пить и есть. Не </w:t>
      </w:r>
      <w:r>
        <w:rPr>
          <w:rFonts w:ascii="Times New Roman" w:hAnsi="Times New Roman"/>
          <w:sz w:val="28"/>
        </w:rPr>
        <w:t>стараться</w:t>
      </w:r>
      <w:r>
        <w:rPr>
          <w:rFonts w:ascii="Times New Roman" w:hAnsi="Times New Roman"/>
          <w:sz w:val="28"/>
        </w:rPr>
        <w:t xml:space="preserve"> самостоятельно извле</w:t>
      </w:r>
      <w:r>
        <w:rPr>
          <w:rFonts w:ascii="Times New Roman" w:hAnsi="Times New Roman"/>
          <w:sz w:val="28"/>
        </w:rPr>
        <w:t>чь</w:t>
      </w:r>
      <w:r>
        <w:rPr>
          <w:rFonts w:ascii="Times New Roman" w:hAnsi="Times New Roman"/>
          <w:sz w:val="28"/>
        </w:rPr>
        <w:t xml:space="preserve"> инородные предметы из ран. </w:t>
      </w:r>
    </w:p>
    <w:p w14:paraId="3E000000">
      <w:pPr>
        <w:pStyle w:val="Style_2"/>
        <w:widowControl w:val="0"/>
        <w:numPr>
          <w:ilvl w:val="1"/>
          <w:numId w:val="4"/>
        </w:numPr>
        <w:spacing w:after="0" w:line="240" w:lineRule="auto"/>
        <w:ind w:firstLine="709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Сообщить об инциденте медицинскому персоналу (в случае н</w:t>
      </w:r>
      <w:r>
        <w:rPr>
          <w:rFonts w:ascii="Times New Roman" w:hAnsi="Times New Roman"/>
          <w:sz w:val="28"/>
        </w:rPr>
        <w:t xml:space="preserve">аличия медицинского персонала в учреждении), непосредственному руководителю, при необходимости, руководителю подразделения, охранной службе, диспетчеру хозяйственной службы согласно регламенту действий при возникновении несчастного случая согласно Порядку </w:t>
      </w:r>
      <w:r>
        <w:rPr>
          <w:rFonts w:ascii="Times New Roman" w:hAnsi="Times New Roman"/>
          <w:sz w:val="28"/>
        </w:rPr>
        <w:t>информирования и организации взаимодействия, в случаях возникновения чрезвычайных ситуаций.</w:t>
      </w:r>
    </w:p>
    <w:p w14:paraId="3F000000">
      <w:pPr>
        <w:widowControl w:val="0"/>
        <w:numPr>
          <w:ilvl w:val="1"/>
          <w:numId w:val="4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вызвать неотложную скорую медицинскую помощь (103).</w:t>
      </w:r>
    </w:p>
    <w:p w14:paraId="40000000">
      <w:pPr>
        <w:widowControl w:val="0"/>
        <w:numPr>
          <w:ilvl w:val="1"/>
          <w:numId w:val="4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вызвать экстренную службу</w:t>
      </w:r>
      <w:r>
        <w:rPr>
          <w:rFonts w:ascii="Times New Roman" w:hAnsi="Times New Roman"/>
          <w:sz w:val="28"/>
        </w:rPr>
        <w:t xml:space="preserve"> (112).</w:t>
      </w:r>
    </w:p>
    <w:p w14:paraId="41000000">
      <w:pPr>
        <w:widowControl w:val="0"/>
        <w:numPr>
          <w:ilvl w:val="1"/>
          <w:numId w:val="4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Обеспечить условия передачи пострадавшего </w:t>
      </w:r>
      <w:r>
        <w:rPr>
          <w:rFonts w:ascii="Times New Roman" w:hAnsi="Times New Roman"/>
          <w:sz w:val="28"/>
        </w:rPr>
        <w:t xml:space="preserve">в службу неотложной скорой медицинской помощи (необходимые документы, личные вещи). </w:t>
      </w:r>
    </w:p>
    <w:p w14:paraId="42000000">
      <w:pPr>
        <w:widowControl w:val="0"/>
        <w:numPr>
          <w:ilvl w:val="1"/>
          <w:numId w:val="4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Запечатлеть/сохранить факты, информацию об инциденте: состояние </w:t>
      </w:r>
      <w:r>
        <w:rPr>
          <w:rFonts w:ascii="Times New Roman" w:hAnsi="Times New Roman"/>
          <w:sz w:val="28"/>
        </w:rPr>
        <w:t>пострадавшего</w:t>
      </w:r>
      <w:r>
        <w:rPr>
          <w:rFonts w:ascii="Times New Roman" w:hAnsi="Times New Roman"/>
          <w:sz w:val="28"/>
        </w:rPr>
        <w:t xml:space="preserve"> при инциденте; обстоятельства происшествия; факты, повлиявшие или ставшие причиной инцидента. </w:t>
      </w:r>
    </w:p>
    <w:p w14:paraId="43000000">
      <w:pPr>
        <w:widowControl w:val="0"/>
        <w:numPr>
          <w:ilvl w:val="1"/>
          <w:numId w:val="4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течени</w:t>
      </w:r>
      <w:r>
        <w:rPr>
          <w:rFonts w:ascii="Times New Roman" w:hAnsi="Times New Roman"/>
          <w:sz w:val="28"/>
        </w:rPr>
        <w:t>е 4 часов с момента происшествия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сообщить об инциденте в Комиссию путем заполнения формы «Извещение о нежелательном событии» в печатной форме. </w:t>
      </w:r>
    </w:p>
    <w:p w14:paraId="44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4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выявлении инцидента в случаях без вреда для здоровья человека работник должен:</w:t>
      </w:r>
    </w:p>
    <w:p w14:paraId="46000000">
      <w:pPr>
        <w:pStyle w:val="Style_2"/>
        <w:widowControl w:val="0"/>
        <w:numPr>
          <w:ilvl w:val="3"/>
          <w:numId w:val="4"/>
        </w:numPr>
        <w:spacing w:after="0" w:line="240" w:lineRule="auto"/>
        <w:ind w:firstLine="709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Поддерживать спокойствие</w:t>
      </w:r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отрудник обязан сохранять самообладание, избегать паники и нервозности, способствуя спокойствию окружающих.</w:t>
      </w:r>
    </w:p>
    <w:p w14:paraId="47000000">
      <w:pPr>
        <w:pStyle w:val="Style_2"/>
        <w:widowControl w:val="0"/>
        <w:numPr>
          <w:ilvl w:val="3"/>
          <w:numId w:val="4"/>
        </w:numPr>
        <w:spacing w:after="0" w:line="240" w:lineRule="auto"/>
        <w:ind w:firstLine="709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</w:t>
      </w:r>
      <w:r>
        <w:rPr>
          <w:rFonts w:ascii="Times New Roman" w:hAnsi="Times New Roman"/>
          <w:sz w:val="28"/>
        </w:rPr>
        <w:t>нформирова</w:t>
      </w:r>
      <w:r>
        <w:rPr>
          <w:rFonts w:ascii="Times New Roman" w:hAnsi="Times New Roman"/>
          <w:sz w:val="28"/>
        </w:rPr>
        <w:t>ть</w:t>
      </w:r>
      <w:r>
        <w:rPr>
          <w:rFonts w:ascii="Times New Roman" w:hAnsi="Times New Roman"/>
          <w:sz w:val="28"/>
        </w:rPr>
        <w:t xml:space="preserve"> руководств</w:t>
      </w:r>
      <w:r>
        <w:rPr>
          <w:rFonts w:ascii="Times New Roman" w:hAnsi="Times New Roman"/>
          <w:sz w:val="28"/>
        </w:rPr>
        <w:t xml:space="preserve">о, </w:t>
      </w:r>
      <w:r>
        <w:rPr>
          <w:rFonts w:ascii="Times New Roman" w:hAnsi="Times New Roman"/>
          <w:sz w:val="28"/>
        </w:rPr>
        <w:t xml:space="preserve">незамедлительно сообщать руководителю учреждения или ответственному лицу обо всех возникающих нестандартных ситуациях, </w:t>
      </w:r>
      <w:r>
        <w:rPr>
          <w:rFonts w:ascii="Times New Roman" w:hAnsi="Times New Roman"/>
          <w:sz w:val="28"/>
        </w:rPr>
        <w:t>будь то конфликтная ситуация между ПСУ, поломка оборудования или внештатные события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организационного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характера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согласно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форме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"_30j0zll"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приложение 1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).</w:t>
      </w:r>
    </w:p>
    <w:p w14:paraId="48000000">
      <w:pPr>
        <w:pStyle w:val="Style_2"/>
        <w:widowControl w:val="0"/>
        <w:numPr>
          <w:ilvl w:val="3"/>
          <w:numId w:val="4"/>
        </w:numPr>
        <w:spacing w:after="0" w:line="240" w:lineRule="auto"/>
        <w:ind w:firstLine="709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Контроль обстановки</w:t>
      </w:r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 xml:space="preserve">постоянно наблюдать за ситуацией, контролировать поведение ПСУ и </w:t>
      </w:r>
      <w:r>
        <w:rPr>
          <w:rFonts w:ascii="Times New Roman" w:hAnsi="Times New Roman"/>
          <w:sz w:val="28"/>
        </w:rPr>
        <w:t>коллег, обеспечива</w:t>
      </w:r>
      <w:r>
        <w:rPr>
          <w:rFonts w:ascii="Times New Roman" w:hAnsi="Times New Roman"/>
          <w:sz w:val="28"/>
        </w:rPr>
        <w:t>ть</w:t>
      </w:r>
      <w:r>
        <w:rPr>
          <w:rFonts w:ascii="Times New Roman" w:hAnsi="Times New Roman"/>
          <w:sz w:val="28"/>
        </w:rPr>
        <w:t xml:space="preserve"> порядок и дисциплину внутри организации.</w:t>
      </w:r>
    </w:p>
    <w:p w14:paraId="49000000">
      <w:pPr>
        <w:pStyle w:val="Style_2"/>
        <w:widowControl w:val="0"/>
        <w:numPr>
          <w:ilvl w:val="3"/>
          <w:numId w:val="4"/>
        </w:numPr>
        <w:spacing w:after="0" w:line="240" w:lineRule="auto"/>
        <w:ind w:firstLine="709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Выполнение инструкций</w:t>
      </w:r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</w:rPr>
        <w:t>строго следовать внутренним регламентам и правилам поведения сотрудников, принятым в учреждении.</w:t>
      </w:r>
    </w:p>
    <w:p w14:paraId="4A000000">
      <w:pPr>
        <w:pStyle w:val="Style_2"/>
        <w:widowControl w:val="0"/>
        <w:numPr>
          <w:ilvl w:val="3"/>
          <w:numId w:val="4"/>
        </w:numPr>
        <w:spacing w:after="0" w:line="240" w:lineRule="auto"/>
        <w:ind w:firstLine="709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конфликта между ПСУ или сотрудниками спокойно выслушать обе сторо</w:t>
      </w:r>
      <w:r>
        <w:rPr>
          <w:rFonts w:ascii="Times New Roman" w:hAnsi="Times New Roman"/>
          <w:sz w:val="28"/>
        </w:rPr>
        <w:t>ны конфликта, предложить сторонам компромиссное решение проблемы, если конфликт невозможно разрешить самостоятельно, вызвать руководство или охрану.</w:t>
      </w:r>
    </w:p>
    <w:p w14:paraId="4B000000">
      <w:pPr>
        <w:pStyle w:val="Style_2"/>
        <w:widowControl w:val="0"/>
        <w:numPr>
          <w:ilvl w:val="3"/>
          <w:numId w:val="4"/>
        </w:numPr>
        <w:spacing w:after="0" w:line="240" w:lineRule="auto"/>
        <w:ind w:firstLine="709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нарушения общественного/внутреннего порядка вызвать правоохранительные органы.</w:t>
      </w:r>
    </w:p>
    <w:p w14:paraId="4C000000">
      <w:pPr>
        <w:pStyle w:val="Style_2"/>
        <w:widowControl w:val="0"/>
        <w:numPr>
          <w:ilvl w:val="3"/>
          <w:numId w:val="4"/>
        </w:numPr>
        <w:spacing w:after="0" w:line="240" w:lineRule="auto"/>
        <w:ind w:firstLine="709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Запечатлеть/сохрани</w:t>
      </w:r>
      <w:r>
        <w:rPr>
          <w:rFonts w:ascii="Times New Roman" w:hAnsi="Times New Roman"/>
          <w:sz w:val="28"/>
        </w:rPr>
        <w:t xml:space="preserve">ть факты, информацию об инциденте: состояние </w:t>
      </w:r>
      <w:r>
        <w:rPr>
          <w:rFonts w:ascii="Times New Roman" w:hAnsi="Times New Roman"/>
          <w:sz w:val="28"/>
        </w:rPr>
        <w:t xml:space="preserve">пострадавшего </w:t>
      </w:r>
      <w:r>
        <w:rPr>
          <w:rFonts w:ascii="Times New Roman" w:hAnsi="Times New Roman"/>
          <w:sz w:val="28"/>
        </w:rPr>
        <w:t xml:space="preserve">при инциденте; обстоятельства происшествия; факты, повлиявшие или ставшие причиной инцидента. </w:t>
      </w:r>
    </w:p>
    <w:p w14:paraId="4D000000">
      <w:pPr>
        <w:pStyle w:val="Style_2"/>
        <w:widowControl w:val="0"/>
        <w:numPr>
          <w:ilvl w:val="3"/>
          <w:numId w:val="4"/>
        </w:numPr>
        <w:spacing w:after="0" w:line="240" w:lineRule="auto"/>
        <w:ind w:firstLine="709" w:left="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течение 4 часов с момента происшествия сообщить об инциденте в Комиссию путем заполнения формы «Извещение о нежелательном событии» в печатной форме. </w:t>
      </w:r>
    </w:p>
    <w:p w14:paraId="4E000000">
      <w:pPr>
        <w:widowControl w:val="0"/>
        <w:spacing w:after="0" w:line="240" w:lineRule="auto"/>
        <w:ind/>
      </w:pPr>
    </w:p>
    <w:p w14:paraId="4F000000">
      <w:pPr>
        <w:pStyle w:val="Style_5"/>
        <w:widowControl w:val="0"/>
        <w:spacing w:before="0" w:line="240" w:lineRule="auto"/>
        <w:ind/>
        <w:jc w:val="center"/>
        <w:rPr>
          <w:rFonts w:ascii="Times New Roman" w:hAnsi="Times New Roman"/>
          <w:i w:val="0"/>
          <w:color w:val="000000"/>
          <w:sz w:val="24"/>
        </w:rPr>
      </w:pPr>
      <w:bookmarkStart w:id="5" w:name="_Рисунок_1._Универсальный"/>
      <w:bookmarkEnd w:id="5"/>
    </w:p>
    <w:p w14:paraId="50000000">
      <w:pPr>
        <w:pStyle w:val="Style_5"/>
        <w:widowControl w:val="0"/>
        <w:spacing w:before="0" w:line="240" w:lineRule="auto"/>
        <w:ind/>
        <w:jc w:val="center"/>
        <w:rPr>
          <w:rFonts w:ascii="Times New Roman" w:hAnsi="Times New Roman"/>
          <w:i w:val="0"/>
          <w:color w:val="000000"/>
          <w:sz w:val="24"/>
        </w:rPr>
      </w:pPr>
      <w:r>
        <w:rPr>
          <w:rFonts w:ascii="Times New Roman" w:hAnsi="Times New Roman"/>
          <w:i w:val="0"/>
          <w:color w:val="000000"/>
          <w:sz w:val="24"/>
        </w:rPr>
        <w:t>Рисунок 2. Универсальный алгоритм оказания первой помощи.</w:t>
      </w:r>
    </w:p>
    <w:p w14:paraId="51000000">
      <w:pPr>
        <w:widowControl w:val="0"/>
        <w:spacing w:after="0" w:line="240" w:lineRule="auto"/>
        <w:ind w:hanging="993" w:left="993"/>
      </w:pPr>
      <w:r>
        <w:t xml:space="preserve">                         </w:t>
      </w:r>
      <w:r>
        <w:drawing>
          <wp:inline>
            <wp:extent cx="4876847" cy="6858066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4876847" cy="6858066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</w:t>
      </w:r>
    </w:p>
    <w:p w14:paraId="52000000">
      <w:pPr>
        <w:pStyle w:val="Style_5"/>
        <w:widowControl w:val="0"/>
        <w:spacing w:before="0" w:line="240" w:lineRule="auto"/>
        <w:ind/>
        <w:jc w:val="center"/>
        <w:rPr>
          <w:rFonts w:ascii="Times New Roman" w:hAnsi="Times New Roman"/>
          <w:i w:val="0"/>
          <w:color w:val="000000"/>
          <w:sz w:val="24"/>
        </w:rPr>
      </w:pPr>
    </w:p>
    <w:p w14:paraId="53000000">
      <w:pPr>
        <w:pStyle w:val="Style_5"/>
        <w:widowControl w:val="0"/>
        <w:spacing w:before="0" w:line="240" w:lineRule="auto"/>
        <w:ind/>
        <w:jc w:val="center"/>
        <w:rPr>
          <w:rFonts w:ascii="Times New Roman" w:hAnsi="Times New Roman"/>
          <w:i w:val="0"/>
          <w:color w:val="000000"/>
          <w:sz w:val="24"/>
        </w:rPr>
      </w:pPr>
    </w:p>
    <w:p w14:paraId="54000000">
      <w:pPr>
        <w:pStyle w:val="Style_5"/>
        <w:widowControl w:val="0"/>
        <w:spacing w:before="0" w:line="240" w:lineRule="auto"/>
        <w:ind/>
        <w:jc w:val="center"/>
        <w:rPr>
          <w:rFonts w:ascii="Times New Roman" w:hAnsi="Times New Roman"/>
          <w:i w:val="0"/>
          <w:color w:val="000000"/>
          <w:sz w:val="24"/>
        </w:rPr>
      </w:pPr>
    </w:p>
    <w:p w14:paraId="55000000">
      <w:pPr>
        <w:pStyle w:val="Style_5"/>
        <w:widowControl w:val="0"/>
        <w:spacing w:before="0" w:line="240" w:lineRule="auto"/>
        <w:ind/>
        <w:jc w:val="center"/>
        <w:rPr>
          <w:rFonts w:ascii="Times New Roman" w:hAnsi="Times New Roman"/>
          <w:i w:val="0"/>
          <w:color w:val="000000"/>
          <w:sz w:val="24"/>
        </w:rPr>
      </w:pPr>
    </w:p>
    <w:p w14:paraId="56000000">
      <w:pPr>
        <w:pStyle w:val="Style_5"/>
        <w:widowControl w:val="0"/>
        <w:spacing w:before="0" w:line="240" w:lineRule="auto"/>
        <w:ind/>
        <w:jc w:val="center"/>
        <w:rPr>
          <w:rFonts w:ascii="Times New Roman" w:hAnsi="Times New Roman"/>
          <w:i w:val="0"/>
          <w:color w:val="000000"/>
          <w:sz w:val="24"/>
        </w:rPr>
      </w:pPr>
    </w:p>
    <w:p w14:paraId="57000000">
      <w:pPr>
        <w:pStyle w:val="Style_5"/>
        <w:widowControl w:val="0"/>
        <w:spacing w:before="0" w:line="240" w:lineRule="auto"/>
        <w:ind/>
        <w:jc w:val="center"/>
        <w:rPr>
          <w:rFonts w:ascii="Times New Roman" w:hAnsi="Times New Roman"/>
          <w:i w:val="0"/>
          <w:color w:val="000000"/>
          <w:sz w:val="24"/>
        </w:rPr>
      </w:pPr>
    </w:p>
    <w:p w14:paraId="58000000">
      <w:pPr>
        <w:pStyle w:val="Style_5"/>
        <w:widowControl w:val="0"/>
        <w:spacing w:before="0" w:line="240" w:lineRule="auto"/>
        <w:ind/>
        <w:rPr>
          <w:rFonts w:ascii="Times New Roman" w:hAnsi="Times New Roman"/>
          <w:i w:val="0"/>
          <w:color w:val="000000"/>
          <w:sz w:val="24"/>
        </w:rPr>
      </w:pPr>
    </w:p>
    <w:p w14:paraId="59000000">
      <w:pPr>
        <w:widowControl w:val="0"/>
        <w:spacing w:after="0" w:line="240" w:lineRule="auto"/>
        <w:ind/>
      </w:pPr>
    </w:p>
    <w:p w14:paraId="5A000000">
      <w:pPr>
        <w:widowControl w:val="0"/>
        <w:spacing w:after="0" w:line="240" w:lineRule="auto"/>
        <w:ind/>
      </w:pPr>
    </w:p>
    <w:p w14:paraId="5B000000">
      <w:pPr>
        <w:pStyle w:val="Style_2"/>
        <w:widowControl w:val="0"/>
        <w:spacing w:after="0" w:line="240" w:lineRule="auto"/>
        <w:ind w:firstLine="0" w:left="0"/>
        <w:contextualSpacing w:val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6. </w:t>
      </w:r>
      <w:r>
        <w:rPr>
          <w:rFonts w:ascii="Times New Roman" w:hAnsi="Times New Roman"/>
          <w:b w:val="1"/>
          <w:sz w:val="28"/>
        </w:rPr>
        <w:t>Порядок действий после уведомления об инциденте</w:t>
      </w:r>
    </w:p>
    <w:p w14:paraId="5C000000">
      <w:pPr>
        <w:pStyle w:val="Style_2"/>
        <w:widowControl w:val="0"/>
        <w:spacing w:after="0" w:line="240" w:lineRule="auto"/>
        <w:ind/>
        <w:contextualSpacing w:val="0"/>
        <w:jc w:val="center"/>
        <w:rPr>
          <w:rFonts w:ascii="Times New Roman" w:hAnsi="Times New Roman"/>
          <w:b w:val="1"/>
          <w:sz w:val="28"/>
        </w:rPr>
      </w:pPr>
    </w:p>
    <w:p w14:paraId="5D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осле уведомления об инциденте Комиссия оценивает вид инцидента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 последствиям и составляет план работы Комиссии. В случае, если сообщение, направленное как инцидент разбору не подлежит</w:t>
      </w:r>
      <w:r>
        <w:rPr>
          <w:rFonts w:ascii="Times New Roman" w:hAnsi="Times New Roman"/>
          <w:sz w:val="28"/>
        </w:rPr>
        <w:t>, Комиссия информирует подавшего сообщение об инциденте о действующем регламенте.</w:t>
      </w:r>
    </w:p>
    <w:p w14:paraId="5E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инциденты классифицируются и разделяются на случаи с вредом для здоровья и без.</w:t>
      </w:r>
    </w:p>
    <w:p w14:paraId="5F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инциденты направляются н</w:t>
      </w:r>
      <w:r>
        <w:rPr>
          <w:rFonts w:ascii="Times New Roman" w:hAnsi="Times New Roman"/>
          <w:sz w:val="28"/>
        </w:rPr>
        <w:t>а рассмотрение в Комиссию с последующим разбором рабочей группой согласно Положению о порядке организации и проведения внутреннего контроля качества и доступности социальных услуг.</w:t>
      </w:r>
    </w:p>
    <w:p w14:paraId="60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Комиссия проводит оценку тяжести инцидента с позиции наступивших последстви</w:t>
      </w:r>
      <w:r>
        <w:rPr>
          <w:rFonts w:ascii="Times New Roman" w:hAnsi="Times New Roman"/>
          <w:sz w:val="28"/>
        </w:rPr>
        <w:t>й для ПСУ и/или сотрудников и вероятности повторения данного инцидента.</w:t>
      </w:r>
    </w:p>
    <w:p w14:paraId="61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Потенциальные инциденты с незначительным риском и случившиеся ошибки с незначительным вредом для здоровья выносятся для анализа и обсуждения Комиссией обобщенно ежеквартально.</w:t>
      </w:r>
    </w:p>
    <w:p w14:paraId="62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</w:t>
      </w:r>
      <w:r>
        <w:rPr>
          <w:rFonts w:ascii="Times New Roman" w:hAnsi="Times New Roman"/>
          <w:sz w:val="28"/>
        </w:rPr>
        <w:t xml:space="preserve"> необходимости, Комиссия направляет в структурные подразделения рекомендации и другие сведения об инциденте (потенциальные инциденты с незначительным риском и случившиеся ошибки с незначительным вредом для здоровья) для минимизации рисков повтора Инцидента</w:t>
      </w:r>
      <w:r>
        <w:rPr>
          <w:rFonts w:ascii="Times New Roman" w:hAnsi="Times New Roman"/>
          <w:sz w:val="28"/>
        </w:rPr>
        <w:t>.</w:t>
      </w:r>
    </w:p>
    <w:p w14:paraId="63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Комиссия проводит 1 раз в год анализ всех зарегистрированных инцидентов (</w:t>
      </w:r>
      <w:r>
        <w:rPr>
          <w:rStyle w:val="Style_3_ch"/>
          <w:rFonts w:ascii="Times New Roman" w:hAnsi="Times New Roman"/>
          <w:color w:val="000000"/>
          <w:sz w:val="28"/>
          <w:u w:val="none"/>
        </w:rPr>
        <w:fldChar w:fldCharType="begin"/>
      </w:r>
      <w:r>
        <w:rPr>
          <w:rStyle w:val="Style_3_ch"/>
          <w:rFonts w:ascii="Times New Roman" w:hAnsi="Times New Roman"/>
          <w:color w:val="000000"/>
          <w:sz w:val="28"/>
          <w:u w:val="none"/>
        </w:rPr>
        <w:instrText>HYPERLINK \l "_Таблица_1"</w:instrText>
      </w:r>
      <w:r>
        <w:rPr>
          <w:rStyle w:val="Style_3_ch"/>
          <w:rFonts w:ascii="Times New Roman" w:hAnsi="Times New Roman"/>
          <w:color w:val="000000"/>
          <w:sz w:val="28"/>
          <w:u w:val="none"/>
        </w:rPr>
        <w:fldChar w:fldCharType="separate"/>
      </w:r>
      <w:r>
        <w:rPr>
          <w:rStyle w:val="Style_3_ch"/>
          <w:rFonts w:ascii="Times New Roman" w:hAnsi="Times New Roman"/>
          <w:color w:val="000000"/>
          <w:sz w:val="28"/>
          <w:u w:val="none"/>
        </w:rPr>
        <w:t>таблица 1</w:t>
      </w:r>
      <w:r>
        <w:rPr>
          <w:rStyle w:val="Style_3_ch"/>
          <w:rFonts w:ascii="Times New Roman" w:hAnsi="Times New Roman"/>
          <w:color w:val="000000"/>
          <w:sz w:val="28"/>
          <w:u w:val="none"/>
        </w:rPr>
        <w:fldChar w:fldCharType="end"/>
      </w:r>
      <w:r>
        <w:rPr>
          <w:rFonts w:ascii="Times New Roman" w:hAnsi="Times New Roman"/>
          <w:sz w:val="28"/>
        </w:rPr>
        <w:t>). Анализ инцидентов является составной частью внутреннего контроля качества в «</w:t>
      </w:r>
      <w:bookmarkStart w:id="6" w:name="_Таблица_1"/>
      <w:bookmarkEnd w:id="6"/>
      <w:r>
        <w:rPr>
          <w:rFonts w:ascii="Times New Roman" w:hAnsi="Times New Roman"/>
          <w:i w:val="1"/>
          <w:sz w:val="28"/>
        </w:rPr>
        <w:t>наименование учреждения».</w:t>
      </w:r>
      <w:bookmarkStart w:id="7" w:name="_GoBack"/>
      <w:bookmarkEnd w:id="7"/>
    </w:p>
    <w:p w14:paraId="64000000">
      <w:pPr>
        <w:pStyle w:val="Style_6"/>
        <w:widowControl w:val="0"/>
        <w:spacing w:before="0" w:line="240" w:lineRule="auto"/>
        <w:ind/>
        <w:jc w:val="right"/>
        <w:rPr>
          <w:rFonts w:ascii="Times New Roman" w:hAnsi="Times New Roman"/>
          <w:i w:val="0"/>
          <w:color w:val="000000"/>
          <w:sz w:val="28"/>
        </w:rPr>
      </w:pPr>
    </w:p>
    <w:p w14:paraId="65000000">
      <w:pPr>
        <w:pStyle w:val="Style_6"/>
        <w:widowControl w:val="0"/>
        <w:spacing w:before="0" w:line="240" w:lineRule="auto"/>
        <w:ind/>
        <w:jc w:val="right"/>
        <w:rPr>
          <w:rFonts w:ascii="Times New Roman" w:hAnsi="Times New Roman"/>
          <w:i w:val="0"/>
          <w:color w:val="000000"/>
          <w:sz w:val="28"/>
        </w:rPr>
      </w:pPr>
    </w:p>
    <w:p w14:paraId="66000000">
      <w:pPr>
        <w:pStyle w:val="Style_6"/>
        <w:widowControl w:val="0"/>
        <w:spacing w:before="0" w:line="240" w:lineRule="auto"/>
        <w:ind/>
        <w:jc w:val="right"/>
        <w:rPr>
          <w:rFonts w:ascii="Times New Roman" w:hAnsi="Times New Roman"/>
          <w:i w:val="0"/>
          <w:color w:val="000000"/>
          <w:sz w:val="28"/>
        </w:rPr>
      </w:pPr>
    </w:p>
    <w:p w14:paraId="67000000">
      <w:pPr>
        <w:widowControl w:val="0"/>
        <w:spacing w:after="0" w:line="240" w:lineRule="auto"/>
        <w:ind/>
      </w:pPr>
    </w:p>
    <w:p w14:paraId="68000000">
      <w:pPr>
        <w:pStyle w:val="Style_6"/>
        <w:widowControl w:val="0"/>
        <w:spacing w:before="0" w:line="240" w:lineRule="auto"/>
        <w:ind/>
        <w:jc w:val="right"/>
        <w:rPr>
          <w:rFonts w:ascii="Times New Roman" w:hAnsi="Times New Roman"/>
          <w:i w:val="0"/>
          <w:color w:val="000000"/>
          <w:sz w:val="28"/>
        </w:rPr>
      </w:pPr>
    </w:p>
    <w:p w14:paraId="69000000">
      <w:pPr>
        <w:widowControl w:val="0"/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6A000000">
      <w:pPr>
        <w:widowControl w:val="0"/>
        <w:spacing w:after="0" w:line="240" w:lineRule="auto"/>
        <w:ind w:firstLine="709" w:left="0"/>
        <w:jc w:val="right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Таблица 1</w:t>
      </w:r>
    </w:p>
    <w:p w14:paraId="6B00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6C00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Анализ всех зарегистрированных инцидентов в </w:t>
      </w:r>
      <w:r>
        <w:rPr>
          <w:rFonts w:ascii="Times New Roman" w:hAnsi="Times New Roman"/>
          <w:i w:val="1"/>
          <w:sz w:val="28"/>
        </w:rPr>
        <w:t>«наименование учреждения»</w:t>
      </w:r>
      <w:r>
        <w:rPr>
          <w:rFonts w:ascii="Times New Roman" w:hAnsi="Times New Roman"/>
          <w:sz w:val="28"/>
        </w:rPr>
        <w:t xml:space="preserve"> </w:t>
      </w:r>
    </w:p>
    <w:p w14:paraId="6D00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tbl>
      <w:tblPr>
        <w:tblStyle w:val="Style_7"/>
        <w:tblW w:type="auto" w:w="0"/>
        <w:tblLayout w:type="fixed"/>
      </w:tblPr>
      <w:tblGrid>
        <w:gridCol w:w="1721"/>
        <w:gridCol w:w="1518"/>
        <w:gridCol w:w="2572"/>
        <w:gridCol w:w="2191"/>
        <w:gridCol w:w="1760"/>
      </w:tblGrid>
      <w:tr>
        <w:trPr>
          <w:trHeight w:hRule="atLeast" w:val="1613"/>
        </w:trPr>
        <w:tc>
          <w:tcPr>
            <w:tcW w:type="dxa" w:w="1721"/>
          </w:tcPr>
          <w:p w14:paraId="6E000000">
            <w:pPr>
              <w:widowControl w:val="0"/>
              <w:ind w:firstLine="109" w:left="-1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поступивших сообщений об инцидентах по структурным отделениям</w:t>
            </w:r>
          </w:p>
          <w:p w14:paraId="6F000000">
            <w:pPr>
              <w:widowControl w:val="0"/>
              <w:ind w:firstLine="109" w:left="-109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18"/>
          </w:tcPr>
          <w:p w14:paraId="70000000">
            <w:pPr>
              <w:widowControl w:val="0"/>
              <w:ind w:firstLine="109" w:left="-1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Структура инцидентов</w:t>
            </w:r>
          </w:p>
        </w:tc>
        <w:tc>
          <w:tcPr>
            <w:tcW w:type="dxa" w:w="2572"/>
          </w:tcPr>
          <w:p w14:paraId="71000000">
            <w:pPr>
              <w:widowControl w:val="0"/>
              <w:ind w:firstLine="109" w:left="-1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Количестве инцидентов, зарегистрированных разными категориями сотрудников</w:t>
            </w:r>
          </w:p>
        </w:tc>
        <w:tc>
          <w:tcPr>
            <w:tcW w:type="dxa" w:w="2191"/>
          </w:tcPr>
          <w:p w14:paraId="72000000">
            <w:pPr>
              <w:widowControl w:val="0"/>
              <w:ind w:firstLine="109" w:left="-1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Процент инциден</w:t>
            </w:r>
            <w:r>
              <w:rPr>
                <w:rFonts w:ascii="Times New Roman" w:hAnsi="Times New Roman"/>
                <w:sz w:val="28"/>
              </w:rPr>
              <w:t>тов, по которым разработаны планы корректирующих действий</w:t>
            </w:r>
          </w:p>
          <w:p w14:paraId="73000000">
            <w:pPr>
              <w:widowControl w:val="0"/>
              <w:ind w:firstLine="109" w:left="-109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760"/>
          </w:tcPr>
          <w:p w14:paraId="74000000">
            <w:pPr>
              <w:widowControl w:val="0"/>
              <w:ind w:firstLine="109" w:left="-1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Информация по наличию системных инцидентов</w:t>
            </w:r>
          </w:p>
        </w:tc>
      </w:tr>
      <w:tr>
        <w:trPr>
          <w:trHeight w:hRule="atLeast" w:val="4704"/>
        </w:trPr>
        <w:tc>
          <w:tcPr>
            <w:tcW w:type="dxa" w:w="1721"/>
          </w:tcPr>
          <w:p w14:paraId="75000000">
            <w:pPr>
              <w:widowControl w:val="0"/>
              <w:ind w:firstLine="109" w:left="-109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18"/>
          </w:tcPr>
          <w:p w14:paraId="76000000">
            <w:pPr>
              <w:widowControl w:val="0"/>
              <w:ind w:firstLine="109" w:left="-109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572"/>
          </w:tcPr>
          <w:p w14:paraId="77000000">
            <w:pPr>
              <w:widowControl w:val="0"/>
              <w:ind w:firstLine="109" w:left="-109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191"/>
          </w:tcPr>
          <w:p w14:paraId="78000000">
            <w:pPr>
              <w:widowControl w:val="0"/>
              <w:ind w:firstLine="109" w:left="-109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760"/>
          </w:tcPr>
          <w:p w14:paraId="79000000">
            <w:pPr>
              <w:widowControl w:val="0"/>
              <w:ind w:firstLine="109" w:left="-109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7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>результатам анализа разрабатывается план корректирующих мероприятий. План корректирующих мероприятий доводится до сведения всех заинтересованных лиц, ответственных руководителей.</w:t>
      </w:r>
    </w:p>
    <w:p w14:paraId="7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Результаты мониторинга и анализа нежелательных событий доводятся до сведения </w:t>
      </w:r>
      <w:r>
        <w:rPr>
          <w:rFonts w:ascii="Times New Roman" w:hAnsi="Times New Roman"/>
          <w:sz w:val="28"/>
        </w:rPr>
        <w:t>сотрудников на общих планерках.</w:t>
      </w:r>
    </w:p>
    <w:p w14:paraId="7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Количественный индикатор – % ошибок, по которым созданы планы корректирующих действий по итогам года, должен составлять не менее 30 % от количества зарегистрированных ошибок.</w:t>
      </w:r>
    </w:p>
    <w:p w14:paraId="7D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</w:p>
    <w:p w14:paraId="7E000000">
      <w:pPr>
        <w:widowControl w:val="0"/>
        <w:spacing w:after="0" w:line="240" w:lineRule="auto"/>
        <w:ind/>
        <w:rPr>
          <w:rFonts w:ascii="Times New Roman" w:hAnsi="Times New Roman"/>
          <w:sz w:val="28"/>
        </w:rPr>
      </w:pPr>
      <w:r>
        <w:br w:type="page"/>
      </w:r>
    </w:p>
    <w:p w14:paraId="7F000000">
      <w:pPr>
        <w:pStyle w:val="Style_8"/>
        <w:widowControl w:val="0"/>
        <w:spacing w:before="0" w:line="240" w:lineRule="auto"/>
        <w:ind/>
        <w:jc w:val="right"/>
        <w:rPr>
          <w:rFonts w:ascii="Times New Roman" w:hAnsi="Times New Roman"/>
          <w:color w:val="000000"/>
          <w:sz w:val="24"/>
        </w:rPr>
      </w:pPr>
      <w:bookmarkStart w:id="8" w:name="_30j0zll"/>
      <w:bookmarkEnd w:id="8"/>
      <w:r>
        <w:rPr>
          <w:rFonts w:ascii="Times New Roman" w:hAnsi="Times New Roman"/>
          <w:color w:val="000000"/>
          <w:sz w:val="24"/>
        </w:rPr>
        <w:t>Приложение 1</w:t>
      </w:r>
    </w:p>
    <w:p w14:paraId="80000000">
      <w:pPr>
        <w:pStyle w:val="Style_8"/>
        <w:widowControl w:val="0"/>
        <w:spacing w:before="0" w:line="240" w:lineRule="auto"/>
        <w:ind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Порядку действия сотрудников </w:t>
      </w:r>
    </w:p>
    <w:p w14:paraId="81000000">
      <w:pPr>
        <w:pStyle w:val="Style_8"/>
        <w:widowControl w:val="0"/>
        <w:spacing w:before="0" w:line="240" w:lineRule="auto"/>
        <w:ind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 возникновении инцидента</w:t>
      </w:r>
    </w:p>
    <w:p w14:paraId="82000000">
      <w:pPr>
        <w:widowControl w:val="0"/>
        <w:spacing w:after="0" w:line="240" w:lineRule="auto"/>
        <w:ind w:firstLine="709" w:left="0"/>
        <w:jc w:val="right"/>
        <w:rPr>
          <w:rFonts w:ascii="Times New Roman" w:hAnsi="Times New Roman"/>
          <w:sz w:val="24"/>
        </w:rPr>
      </w:pPr>
    </w:p>
    <w:p w14:paraId="8300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8400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Министерство труда и социального развития Республики Саха (Якутия)</w:t>
      </w:r>
    </w:p>
    <w:p w14:paraId="8500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8600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i w:val="1"/>
          <w:sz w:val="28"/>
        </w:rPr>
        <w:t>«наименование учреждения»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87000000">
      <w:pPr>
        <w:widowControl w:val="0"/>
        <w:spacing w:after="0" w:line="240" w:lineRule="auto"/>
        <w:ind w:right="110"/>
        <w:jc w:val="center"/>
        <w:rPr>
          <w:rFonts w:ascii="Times New Roman" w:hAnsi="Times New Roman"/>
          <w:b w:val="1"/>
          <w:sz w:val="28"/>
        </w:rPr>
      </w:pPr>
    </w:p>
    <w:p w14:paraId="88000000">
      <w:pPr>
        <w:widowControl w:val="0"/>
        <w:spacing w:after="0" w:line="240" w:lineRule="auto"/>
        <w:ind w:right="11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Сообщение об инциденте</w:t>
      </w:r>
    </w:p>
    <w:p w14:paraId="89000000">
      <w:pPr>
        <w:widowControl w:val="0"/>
        <w:spacing w:after="0" w:line="240" w:lineRule="auto"/>
        <w:ind w:right="110"/>
        <w:jc w:val="center"/>
        <w:rPr>
          <w:rFonts w:ascii="Times New Roman" w:hAnsi="Times New Roman"/>
          <w:b w:val="1"/>
          <w:sz w:val="28"/>
        </w:rPr>
      </w:pPr>
    </w:p>
    <w:p w14:paraId="8A000000">
      <w:pPr>
        <w:widowControl w:val="0"/>
        <w:numPr>
          <w:ilvl w:val="0"/>
          <w:numId w:val="5"/>
        </w:numPr>
        <w:spacing w:after="0" w:line="240" w:lineRule="auto"/>
        <w:ind w:firstLine="0" w:left="0" w:right="362"/>
        <w:jc w:val="both"/>
        <w:rPr>
          <w:sz w:val="24"/>
        </w:rPr>
      </w:pPr>
      <w:r>
        <w:rPr>
          <w:rFonts w:ascii="Times New Roman" w:hAnsi="Times New Roman"/>
          <w:sz w:val="24"/>
        </w:rPr>
        <w:t>Дата инцидента «___» ___________20___ г., время инцидента______________</w:t>
      </w:r>
    </w:p>
    <w:p w14:paraId="8B000000">
      <w:pPr>
        <w:widowControl w:val="0"/>
        <w:numPr>
          <w:ilvl w:val="0"/>
          <w:numId w:val="5"/>
        </w:numPr>
        <w:spacing w:after="0" w:line="240" w:lineRule="auto"/>
        <w:ind w:firstLine="0" w:left="0" w:right="362"/>
        <w:rPr>
          <w:sz w:val="24"/>
        </w:rPr>
      </w:pPr>
      <w:r>
        <w:rPr>
          <w:rFonts w:ascii="Times New Roman" w:hAnsi="Times New Roman"/>
          <w:sz w:val="24"/>
        </w:rPr>
        <w:t xml:space="preserve">Структурное подразделение, </w:t>
      </w:r>
      <w:r>
        <w:rPr>
          <w:rFonts w:ascii="Times New Roman" w:hAnsi="Times New Roman"/>
          <w:sz w:val="24"/>
        </w:rPr>
        <w:t>адрес____________________________________________ ________________________________________________________________________________</w:t>
      </w:r>
    </w:p>
    <w:p w14:paraId="8C000000">
      <w:pPr>
        <w:widowControl w:val="0"/>
        <w:numPr>
          <w:ilvl w:val="0"/>
          <w:numId w:val="5"/>
        </w:numPr>
        <w:spacing w:after="0" w:line="240" w:lineRule="auto"/>
        <w:ind w:firstLine="0" w:left="0" w:right="283"/>
        <w:rPr>
          <w:sz w:val="24"/>
        </w:rPr>
      </w:pPr>
      <w:r>
        <w:rPr>
          <w:rFonts w:ascii="Times New Roman" w:hAnsi="Times New Roman"/>
          <w:sz w:val="24"/>
        </w:rPr>
        <w:t xml:space="preserve">Что </w:t>
      </w:r>
      <w:r>
        <w:rPr>
          <w:rFonts w:ascii="Times New Roman" w:hAnsi="Times New Roman"/>
          <w:sz w:val="24"/>
        </w:rPr>
        <w:t>произошло?_</w:t>
      </w:r>
      <w:r>
        <w:rPr>
          <w:rFonts w:ascii="Times New Roman" w:hAnsi="Times New Roman"/>
          <w:sz w:val="24"/>
        </w:rPr>
        <w:t>___________________________________________________________ __________________________________________________</w:t>
      </w: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</w:rPr>
        <w:t>__________________</w:t>
      </w:r>
    </w:p>
    <w:p w14:paraId="8D000000">
      <w:pPr>
        <w:widowControl w:val="0"/>
        <w:numPr>
          <w:ilvl w:val="0"/>
          <w:numId w:val="6"/>
        </w:numPr>
        <w:spacing w:after="0" w:line="240" w:lineRule="auto"/>
        <w:ind w:firstLine="0" w:left="0" w:right="130"/>
        <w:rPr>
          <w:sz w:val="24"/>
        </w:rPr>
      </w:pPr>
      <w:r>
        <w:rPr>
          <w:rFonts w:ascii="Times New Roman" w:hAnsi="Times New Roman"/>
          <w:sz w:val="24"/>
        </w:rPr>
        <w:t>Как произошло? _____________________________________________________________ 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</w:rPr>
        <w:t>______________________________________________________________________________________</w:t>
      </w:r>
    </w:p>
    <w:p w14:paraId="8E000000">
      <w:pPr>
        <w:widowControl w:val="0"/>
        <w:numPr>
          <w:ilvl w:val="0"/>
          <w:numId w:val="6"/>
        </w:numPr>
        <w:spacing w:after="0" w:line="240" w:lineRule="auto"/>
        <w:ind w:firstLine="0" w:left="0" w:right="130"/>
        <w:jc w:val="both"/>
        <w:rPr>
          <w:sz w:val="24"/>
        </w:rPr>
      </w:pPr>
      <w:r>
        <w:rPr>
          <w:rFonts w:ascii="Times New Roman" w:hAnsi="Times New Roman"/>
          <w:sz w:val="24"/>
        </w:rPr>
        <w:t>Почему произошло? (Ваше мнение) ___________________________________________ _____________________________________________________________________________________________</w:t>
      </w: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</w:rPr>
        <w:t>_____________________________________________________________</w:t>
      </w:r>
    </w:p>
    <w:p w14:paraId="8F000000">
      <w:pPr>
        <w:widowControl w:val="0"/>
        <w:numPr>
          <w:ilvl w:val="0"/>
          <w:numId w:val="6"/>
        </w:numPr>
        <w:spacing w:after="0" w:line="240" w:lineRule="auto"/>
        <w:ind w:firstLine="0" w:left="0" w:right="331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Кто участвовал в инциденте? ПСУ/посетитель/персонал Ф.И.О. ________________________________________________________________________________ </w:t>
      </w:r>
      <w:bookmarkStart w:id="9" w:name="_Hlk204779743"/>
      <w:r>
        <w:rPr>
          <w:rFonts w:ascii="Times New Roman" w:hAnsi="Times New Roman"/>
          <w:sz w:val="24"/>
        </w:rPr>
        <w:t>______________________________________________________</w:t>
      </w:r>
      <w:r>
        <w:rPr>
          <w:rFonts w:ascii="Times New Roman" w:hAnsi="Times New Roman"/>
          <w:sz w:val="24"/>
        </w:rPr>
        <w:t>____________________</w:t>
      </w:r>
      <w:bookmarkEnd w:id="9"/>
    </w:p>
    <w:p w14:paraId="90000000">
      <w:pPr>
        <w:widowControl w:val="0"/>
        <w:spacing w:after="0" w:line="240" w:lineRule="auto"/>
        <w:ind w:right="54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Ф. И. О. сотрудника _______________</w:t>
      </w:r>
    </w:p>
    <w:p w14:paraId="91000000">
      <w:pPr>
        <w:widowControl w:val="0"/>
        <w:spacing w:after="0" w:line="240" w:lineRule="auto"/>
        <w:ind w:right="42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Должность___________________</w:t>
      </w:r>
    </w:p>
    <w:p w14:paraId="92000000">
      <w:pPr>
        <w:widowControl w:val="0"/>
        <w:spacing w:after="0" w:line="240" w:lineRule="auto"/>
        <w:ind w:right="33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Дата заполнения «___» ________20__г.</w:t>
      </w:r>
    </w:p>
    <w:p w14:paraId="93000000">
      <w:pPr>
        <w:widowControl w:val="0"/>
        <w:spacing w:after="0" w:line="240" w:lineRule="auto"/>
        <w:ind w:right="292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Спасибо, что помогаете нам стать лучше!</w:t>
      </w:r>
    </w:p>
    <w:sectPr>
      <w:footerReference r:id="rId1" w:type="default"/>
      <w:pgSz w:h="16838" w:orient="portrait" w:w="11906"/>
      <w:pgMar w:bottom="567" w:footer="709" w:gutter="0" w:header="709" w:left="794" w:right="567" w:top="567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widowControl w:val="0"/>
      <w:ind/>
      <w:jc w:val="both"/>
      <w:rPr>
        <w:rFonts w:ascii="Times New Roman" w:hAnsi="Times New Roman"/>
      </w:rPr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widowControl w:val="0"/>
        <w:ind w:hanging="360" w:left="720"/>
      </w:pPr>
    </w:lvl>
    <w:lvl w:ilvl="1">
      <w:start w:val="1"/>
      <w:numFmt w:val="lowerLetter"/>
      <w:lvlText w:val="%2."/>
      <w:lvlJc w:val="left"/>
      <w:pPr>
        <w:widowControl w:val="0"/>
        <w:ind w:hanging="360" w:left="1440"/>
      </w:pPr>
    </w:lvl>
    <w:lvl w:ilvl="2">
      <w:start w:val="1"/>
      <w:numFmt w:val="lowerRoman"/>
      <w:lvlText w:val="%3."/>
      <w:lvlJc w:val="right"/>
      <w:pPr>
        <w:widowControl w:val="0"/>
        <w:ind w:hanging="180" w:left="2160"/>
      </w:pPr>
    </w:lvl>
    <w:lvl w:ilvl="3">
      <w:start w:val="1"/>
      <w:numFmt w:val="decimal"/>
      <w:lvlText w:val="%4."/>
      <w:lvlJc w:val="left"/>
      <w:pPr>
        <w:widowControl w:val="0"/>
        <w:ind w:hanging="360" w:left="2880"/>
      </w:pPr>
    </w:lvl>
    <w:lvl w:ilvl="4">
      <w:start w:val="1"/>
      <w:numFmt w:val="lowerLetter"/>
      <w:lvlText w:val="%5."/>
      <w:lvlJc w:val="left"/>
      <w:pPr>
        <w:widowControl w:val="0"/>
        <w:ind w:hanging="360" w:left="3600"/>
      </w:pPr>
    </w:lvl>
    <w:lvl w:ilvl="5">
      <w:start w:val="1"/>
      <w:numFmt w:val="lowerRoman"/>
      <w:lvlText w:val="%6."/>
      <w:lvlJc w:val="right"/>
      <w:pPr>
        <w:widowControl w:val="0"/>
        <w:ind w:hanging="180" w:left="4320"/>
      </w:pPr>
    </w:lvl>
    <w:lvl w:ilvl="6">
      <w:start w:val="1"/>
      <w:numFmt w:val="decimal"/>
      <w:lvlText w:val="%7."/>
      <w:lvlJc w:val="left"/>
      <w:pPr>
        <w:widowControl w:val="0"/>
        <w:ind w:hanging="360" w:left="5040"/>
      </w:pPr>
    </w:lvl>
    <w:lvl w:ilvl="7">
      <w:start w:val="1"/>
      <w:numFmt w:val="lowerLetter"/>
      <w:lvlText w:val="%8."/>
      <w:lvlJc w:val="left"/>
      <w:pPr>
        <w:widowControl w:val="0"/>
        <w:ind w:hanging="360" w:left="5760"/>
      </w:pPr>
    </w:lvl>
    <w:lvl w:ilvl="8">
      <w:start w:val="1"/>
      <w:numFmt w:val="lowerRoman"/>
      <w:lvlText w:val="%9."/>
      <w:lvlJc w:val="right"/>
      <w:pPr>
        <w:widowControl w:val="0"/>
        <w:ind w:hanging="180" w:left="6480"/>
      </w:pPr>
    </w:lvl>
  </w:abstractNum>
  <w:abstractNum w:abstractNumId="1">
    <w:lvl w:ilvl="0">
      <w:start w:val="1"/>
      <w:numFmt w:val="bullet"/>
      <w:lvlText w:val=""/>
      <w:lvlJc w:val="left"/>
      <w:pPr>
        <w:widowControl w:val="0"/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0"/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0"/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0"/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0"/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0"/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0"/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0"/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0"/>
        <w:ind w:hanging="360" w:left="7189"/>
      </w:pPr>
      <w:rPr>
        <w:rFonts w:ascii="Wingdings" w:hAnsi="Wingdings"/>
      </w:rPr>
    </w:lvl>
  </w:abstractNum>
  <w:abstractNum w:abstractNumId="2">
    <w:lvl w:ilvl="0">
      <w:start w:val="1"/>
      <w:numFmt w:val="decimal"/>
      <w:lvlText w:val="%1."/>
      <w:lvlJc w:val="left"/>
      <w:pPr>
        <w:widowControl w:val="0"/>
        <w:ind w:hanging="360" w:left="720"/>
      </w:pPr>
    </w:lvl>
    <w:lvl w:ilvl="1">
      <w:start w:val="1"/>
      <w:numFmt w:val="lowerLetter"/>
      <w:lvlText w:val="%2."/>
      <w:lvlJc w:val="left"/>
      <w:pPr>
        <w:widowControl w:val="0"/>
        <w:ind w:hanging="360" w:left="1440"/>
      </w:pPr>
    </w:lvl>
    <w:lvl w:ilvl="2">
      <w:start w:val="1"/>
      <w:numFmt w:val="lowerRoman"/>
      <w:lvlText w:val="%3."/>
      <w:lvlJc w:val="right"/>
      <w:pPr>
        <w:widowControl w:val="0"/>
        <w:ind w:hanging="180" w:left="2160"/>
      </w:pPr>
    </w:lvl>
    <w:lvl w:ilvl="3">
      <w:start w:val="1"/>
      <w:numFmt w:val="decimal"/>
      <w:lvlText w:val="%4."/>
      <w:lvlJc w:val="left"/>
      <w:pPr>
        <w:widowControl w:val="0"/>
        <w:ind w:hanging="360" w:left="2880"/>
      </w:pPr>
    </w:lvl>
    <w:lvl w:ilvl="4">
      <w:start w:val="1"/>
      <w:numFmt w:val="lowerLetter"/>
      <w:lvlText w:val="%5."/>
      <w:lvlJc w:val="left"/>
      <w:pPr>
        <w:widowControl w:val="0"/>
        <w:ind w:hanging="360" w:left="3600"/>
      </w:pPr>
    </w:lvl>
    <w:lvl w:ilvl="5">
      <w:start w:val="1"/>
      <w:numFmt w:val="lowerRoman"/>
      <w:lvlText w:val="%6."/>
      <w:lvlJc w:val="right"/>
      <w:pPr>
        <w:widowControl w:val="0"/>
        <w:ind w:hanging="180" w:left="4320"/>
      </w:pPr>
    </w:lvl>
    <w:lvl w:ilvl="6">
      <w:start w:val="1"/>
      <w:numFmt w:val="decimal"/>
      <w:lvlText w:val="%7."/>
      <w:lvlJc w:val="left"/>
      <w:pPr>
        <w:widowControl w:val="0"/>
        <w:ind w:hanging="360" w:left="5040"/>
      </w:pPr>
    </w:lvl>
    <w:lvl w:ilvl="7">
      <w:start w:val="1"/>
      <w:numFmt w:val="lowerLetter"/>
      <w:lvlText w:val="%8."/>
      <w:lvlJc w:val="left"/>
      <w:pPr>
        <w:widowControl w:val="0"/>
        <w:ind w:hanging="360" w:left="5760"/>
      </w:pPr>
    </w:lvl>
    <w:lvl w:ilvl="8">
      <w:start w:val="1"/>
      <w:numFmt w:val="lowerRoman"/>
      <w:lvlText w:val="%9."/>
      <w:lvlJc w:val="right"/>
      <w:pPr>
        <w:widowControl w:val="0"/>
        <w:ind w:hanging="180" w:left="6480"/>
      </w:pPr>
    </w:lvl>
  </w:abstractNum>
  <w:abstractNum w:abstractNumId="3">
    <w:lvl w:ilvl="0">
      <w:start w:val="1"/>
      <w:numFmt w:val="decimal"/>
      <w:lvlText w:val="%1."/>
      <w:lvlJc w:val="left"/>
      <w:pPr>
        <w:widowControl w:val="0"/>
        <w:ind w:hanging="360" w:left="1287"/>
      </w:pPr>
    </w:lvl>
    <w:lvl w:ilvl="1">
      <w:start w:val="1"/>
      <w:numFmt w:val="decimal"/>
      <w:lvlText w:val="%2."/>
      <w:lvlJc w:val="left"/>
      <w:pPr>
        <w:widowControl w:val="0"/>
        <w:ind w:hanging="360" w:left="2007"/>
      </w:pPr>
    </w:lvl>
    <w:lvl w:ilvl="2">
      <w:start w:val="1"/>
      <w:numFmt w:val="lowerRoman"/>
      <w:lvlText w:val="%3."/>
      <w:lvlJc w:val="right"/>
      <w:pPr>
        <w:widowControl w:val="0"/>
        <w:ind w:hanging="180" w:left="2727"/>
      </w:pPr>
    </w:lvl>
    <w:lvl w:ilvl="3">
      <w:start w:val="1"/>
      <w:numFmt w:val="decimal"/>
      <w:lvlText w:val="%4."/>
      <w:lvlJc w:val="left"/>
      <w:pPr>
        <w:widowControl w:val="0"/>
        <w:ind w:hanging="360" w:left="3447"/>
      </w:pPr>
    </w:lvl>
    <w:lvl w:ilvl="4">
      <w:start w:val="1"/>
      <w:numFmt w:val="lowerLetter"/>
      <w:lvlText w:val="%5."/>
      <w:lvlJc w:val="left"/>
      <w:pPr>
        <w:widowControl w:val="0"/>
        <w:ind w:hanging="360" w:left="4167"/>
      </w:pPr>
    </w:lvl>
    <w:lvl w:ilvl="5">
      <w:start w:val="1"/>
      <w:numFmt w:val="lowerRoman"/>
      <w:lvlText w:val="%6."/>
      <w:lvlJc w:val="right"/>
      <w:pPr>
        <w:widowControl w:val="0"/>
        <w:ind w:hanging="180" w:left="4887"/>
      </w:pPr>
    </w:lvl>
    <w:lvl w:ilvl="6">
      <w:start w:val="1"/>
      <w:numFmt w:val="decimal"/>
      <w:lvlText w:val="%7."/>
      <w:lvlJc w:val="left"/>
      <w:pPr>
        <w:widowControl w:val="0"/>
        <w:ind w:hanging="360" w:left="5607"/>
      </w:pPr>
    </w:lvl>
    <w:lvl w:ilvl="7">
      <w:start w:val="1"/>
      <w:numFmt w:val="lowerLetter"/>
      <w:lvlText w:val="%8."/>
      <w:lvlJc w:val="left"/>
      <w:pPr>
        <w:widowControl w:val="0"/>
        <w:ind w:hanging="360" w:left="6327"/>
      </w:pPr>
    </w:lvl>
    <w:lvl w:ilvl="8">
      <w:start w:val="1"/>
      <w:numFmt w:val="lowerRoman"/>
      <w:lvlText w:val="%9."/>
      <w:lvlJc w:val="right"/>
      <w:pPr>
        <w:widowControl w:val="0"/>
        <w:ind w:hanging="180" w:left="7047"/>
      </w:pPr>
    </w:lvl>
  </w:abstractNum>
  <w:abstractNum w:abstractNumId="4">
    <w:lvl w:ilvl="0">
      <w:start w:val="1"/>
      <w:numFmt w:val="decimal"/>
      <w:lvlText w:val="%1."/>
      <w:lvlJc w:val="left"/>
      <w:pPr>
        <w:widowControl w:val="0"/>
        <w:ind w:hanging="383" w:left="383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>
      <w:start w:val="1"/>
      <w:numFmt w:val="lowerLetter"/>
      <w:lvlText w:val="%2"/>
      <w:lvlJc w:val="left"/>
      <w:pPr>
        <w:widowControl w:val="0"/>
        <w:ind w:hanging="1140" w:left="1140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2">
      <w:start w:val="1"/>
      <w:numFmt w:val="lowerRoman"/>
      <w:lvlText w:val="%3"/>
      <w:lvlJc w:val="left"/>
      <w:pPr>
        <w:widowControl w:val="0"/>
        <w:ind w:hanging="1860" w:left="1860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3">
      <w:start w:val="1"/>
      <w:numFmt w:val="decimal"/>
      <w:lvlText w:val="%4"/>
      <w:lvlJc w:val="left"/>
      <w:pPr>
        <w:widowControl w:val="0"/>
        <w:ind w:hanging="2580" w:left="2580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4">
      <w:start w:val="1"/>
      <w:numFmt w:val="lowerLetter"/>
      <w:lvlText w:val="%5"/>
      <w:lvlJc w:val="left"/>
      <w:pPr>
        <w:widowControl w:val="0"/>
        <w:ind w:hanging="3300" w:left="3300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5">
      <w:start w:val="1"/>
      <w:numFmt w:val="lowerRoman"/>
      <w:lvlText w:val="%6"/>
      <w:lvlJc w:val="left"/>
      <w:pPr>
        <w:widowControl w:val="0"/>
        <w:ind w:hanging="4020" w:left="4020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6">
      <w:start w:val="1"/>
      <w:numFmt w:val="decimal"/>
      <w:lvlText w:val="%7"/>
      <w:lvlJc w:val="left"/>
      <w:pPr>
        <w:widowControl w:val="0"/>
        <w:ind w:hanging="4740" w:left="4740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7">
      <w:start w:val="1"/>
      <w:numFmt w:val="lowerLetter"/>
      <w:lvlText w:val="%8"/>
      <w:lvlJc w:val="left"/>
      <w:pPr>
        <w:widowControl w:val="0"/>
        <w:ind w:hanging="5460" w:left="5460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8">
      <w:start w:val="1"/>
      <w:numFmt w:val="lowerRoman"/>
      <w:lvlText w:val="%9"/>
      <w:lvlJc w:val="left"/>
      <w:pPr>
        <w:widowControl w:val="0"/>
        <w:ind w:hanging="6180" w:left="6180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</w:abstractNum>
  <w:abstractNum w:abstractNumId="5">
    <w:lvl w:ilvl="0">
      <w:start w:val="4"/>
      <w:numFmt w:val="decimal"/>
      <w:lvlText w:val="%1."/>
      <w:lvlJc w:val="left"/>
      <w:pPr>
        <w:widowControl w:val="0"/>
        <w:ind w:hanging="407" w:left="407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1">
      <w:start w:val="1"/>
      <w:numFmt w:val="lowerLetter"/>
      <w:lvlText w:val="%2"/>
      <w:lvlJc w:val="left"/>
      <w:pPr>
        <w:widowControl w:val="0"/>
        <w:ind w:hanging="1098" w:left="1098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2">
      <w:start w:val="1"/>
      <w:numFmt w:val="lowerRoman"/>
      <w:lvlText w:val="%3"/>
      <w:lvlJc w:val="left"/>
      <w:pPr>
        <w:widowControl w:val="0"/>
        <w:ind w:hanging="1818" w:left="1818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3">
      <w:start w:val="1"/>
      <w:numFmt w:val="decimal"/>
      <w:lvlText w:val="%4"/>
      <w:lvlJc w:val="left"/>
      <w:pPr>
        <w:widowControl w:val="0"/>
        <w:ind w:hanging="2538" w:left="2538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4">
      <w:start w:val="1"/>
      <w:numFmt w:val="lowerLetter"/>
      <w:lvlText w:val="%5"/>
      <w:lvlJc w:val="left"/>
      <w:pPr>
        <w:widowControl w:val="0"/>
        <w:ind w:hanging="3258" w:left="3258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5">
      <w:start w:val="1"/>
      <w:numFmt w:val="lowerRoman"/>
      <w:lvlText w:val="%6"/>
      <w:lvlJc w:val="left"/>
      <w:pPr>
        <w:widowControl w:val="0"/>
        <w:ind w:hanging="3978" w:left="3978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6">
      <w:start w:val="1"/>
      <w:numFmt w:val="decimal"/>
      <w:lvlText w:val="%7"/>
      <w:lvlJc w:val="left"/>
      <w:pPr>
        <w:widowControl w:val="0"/>
        <w:ind w:hanging="4698" w:left="4698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7">
      <w:start w:val="1"/>
      <w:numFmt w:val="lowerLetter"/>
      <w:lvlText w:val="%8"/>
      <w:lvlJc w:val="left"/>
      <w:pPr>
        <w:widowControl w:val="0"/>
        <w:ind w:hanging="5418" w:left="5418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  <w:lvl w:ilvl="8">
      <w:start w:val="1"/>
      <w:numFmt w:val="lowerRoman"/>
      <w:lvlText w:val="%9"/>
      <w:lvlJc w:val="left"/>
      <w:pPr>
        <w:widowControl w:val="0"/>
        <w:ind w:hanging="6138" w:left="6138"/>
      </w:pPr>
      <w:rPr>
        <w:rFonts w:ascii="Times New Roman" w:hAnsi="Times New Roman"/>
        <w:b w:val="0"/>
        <w:i w:val="0"/>
        <w:strike w:val="0"/>
        <w:color w:val="000000"/>
        <w:sz w:val="24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  <w:rPr>
      <w:rFonts w:ascii="Calibri" w:hAnsi="Calibri"/>
    </w:rPr>
  </w:style>
  <w:style w:default="1" w:styleId="Style_9_ch" w:type="character">
    <w:name w:val="Normal"/>
    <w:link w:val="Style_9"/>
    <w:rPr>
      <w:rFonts w:ascii="Calibri" w:hAnsi="Calibri"/>
    </w:rPr>
  </w:style>
  <w:style w:styleId="Style_10" w:type="paragraph">
    <w:name w:val="toc 2"/>
    <w:next w:val="Style_9"/>
    <w:link w:val="Style_10_ch"/>
    <w:uiPriority w:val="39"/>
    <w:pPr>
      <w:widowControl w:val="0"/>
      <w:ind w:firstLine="0" w:left="200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11" w:type="paragraph">
    <w:name w:val="Знак сноски1"/>
    <w:basedOn w:val="Style_12"/>
    <w:link w:val="Style_11_ch"/>
    <w:rPr>
      <w:vertAlign w:val="superscript"/>
    </w:rPr>
  </w:style>
  <w:style w:styleId="Style_11_ch" w:type="character">
    <w:name w:val="Знак сноски1"/>
    <w:basedOn w:val="Style_12_ch"/>
    <w:link w:val="Style_11"/>
    <w:rPr>
      <w:vertAlign w:val="superscript"/>
    </w:rPr>
  </w:style>
  <w:style w:styleId="Style_13" w:type="paragraph">
    <w:name w:val="toc 4"/>
    <w:next w:val="Style_9"/>
    <w:link w:val="Style_13_ch"/>
    <w:uiPriority w:val="39"/>
    <w:pPr>
      <w:widowControl w:val="0"/>
      <w:ind w:firstLine="0" w:left="600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5" w:type="paragraph">
    <w:name w:val="heading 7"/>
    <w:basedOn w:val="Style_9"/>
    <w:next w:val="Style_9"/>
    <w:link w:val="Style_5_ch"/>
    <w:uiPriority w:val="9"/>
    <w:qFormat/>
    <w:pPr>
      <w:keepNext w:val="1"/>
      <w:keepLines w:val="1"/>
      <w:widowControl w:val="0"/>
      <w:spacing w:after="0" w:before="40"/>
      <w:ind/>
      <w:outlineLvl w:val="6"/>
    </w:pPr>
    <w:rPr>
      <w:rFonts w:asciiTheme="majorAscii" w:hAnsiTheme="majorHAnsi"/>
      <w:i w:val="1"/>
      <w:color w:themeColor="accent1" w:themeShade="7F" w:val="1F4E79"/>
    </w:rPr>
  </w:style>
  <w:style w:styleId="Style_5_ch" w:type="character">
    <w:name w:val="heading 7"/>
    <w:basedOn w:val="Style_9_ch"/>
    <w:link w:val="Style_5"/>
    <w:rPr>
      <w:rFonts w:asciiTheme="majorAscii" w:hAnsiTheme="majorHAnsi"/>
      <w:i w:val="1"/>
      <w:color w:themeColor="accent1" w:themeShade="7F" w:val="1F4E79"/>
    </w:rPr>
  </w:style>
  <w:style w:styleId="Style_14" w:type="paragraph">
    <w:name w:val="toc 6"/>
    <w:next w:val="Style_9"/>
    <w:link w:val="Style_14_ch"/>
    <w:uiPriority w:val="39"/>
    <w:pPr>
      <w:widowControl w:val="0"/>
      <w:ind w:firstLine="0" w:left="1000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toc 7"/>
    <w:next w:val="Style_9"/>
    <w:link w:val="Style_15_ch"/>
    <w:uiPriority w:val="39"/>
    <w:pPr>
      <w:widowControl w:val="0"/>
      <w:ind w:firstLine="0" w:left="1200"/>
    </w:pPr>
    <w:rPr>
      <w:rFonts w:ascii="XO Thames" w:hAnsi="XO Thames"/>
      <w:sz w:val="28"/>
    </w:rPr>
  </w:style>
  <w:style w:styleId="Style_15_ch" w:type="character">
    <w:name w:val="toc 7"/>
    <w:link w:val="Style_15"/>
    <w:rPr>
      <w:rFonts w:ascii="XO Thames" w:hAnsi="XO Thames"/>
      <w:sz w:val="28"/>
    </w:rPr>
  </w:style>
  <w:style w:styleId="Style_16" w:type="paragraph">
    <w:name w:val="Endnote"/>
    <w:link w:val="Style_16_ch"/>
    <w:pPr>
      <w:widowControl w:val="0"/>
      <w:ind w:firstLine="851" w:left="0"/>
      <w:jc w:val="both"/>
    </w:pPr>
    <w:rPr>
      <w:rFonts w:ascii="XO Thames" w:hAnsi="XO Thames"/>
    </w:rPr>
  </w:style>
  <w:style w:styleId="Style_16_ch" w:type="character">
    <w:name w:val="Endnote"/>
    <w:link w:val="Style_16"/>
    <w:rPr>
      <w:rFonts w:ascii="XO Thames" w:hAnsi="XO Thames"/>
    </w:rPr>
  </w:style>
  <w:style w:styleId="Style_17" w:type="paragraph">
    <w:name w:val="heading 3"/>
    <w:next w:val="Style_9"/>
    <w:link w:val="Style_17_ch"/>
    <w:uiPriority w:val="9"/>
    <w:qFormat/>
    <w:pPr>
      <w:widowControl w:val="0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7_ch" w:type="character">
    <w:name w:val="heading 3"/>
    <w:link w:val="Style_17"/>
    <w:rPr>
      <w:rFonts w:ascii="XO Thames" w:hAnsi="XO Thames"/>
      <w:b w:val="1"/>
      <w:sz w:val="26"/>
    </w:rPr>
  </w:style>
  <w:style w:styleId="Style_6" w:type="paragraph">
    <w:name w:val="heading 9"/>
    <w:basedOn w:val="Style_9"/>
    <w:next w:val="Style_9"/>
    <w:link w:val="Style_6_ch"/>
    <w:uiPriority w:val="9"/>
    <w:qFormat/>
    <w:pPr>
      <w:keepNext w:val="1"/>
      <w:keepLines w:val="1"/>
      <w:widowControl w:val="0"/>
      <w:spacing w:after="0" w:before="40"/>
      <w:ind/>
      <w:outlineLvl w:val="8"/>
    </w:pPr>
    <w:rPr>
      <w:rFonts w:asciiTheme="majorAscii" w:hAnsiTheme="majorHAnsi"/>
      <w:i w:val="1"/>
      <w:color w:themeColor="text1" w:themeTint="D8" w:val="272727"/>
      <w:sz w:val="21"/>
    </w:rPr>
  </w:style>
  <w:style w:styleId="Style_6_ch" w:type="character">
    <w:name w:val="heading 9"/>
    <w:basedOn w:val="Style_9_ch"/>
    <w:link w:val="Style_6"/>
    <w:rPr>
      <w:rFonts w:asciiTheme="majorAscii" w:hAnsiTheme="majorHAnsi"/>
      <w:i w:val="1"/>
      <w:color w:themeColor="text1" w:themeTint="D8" w:val="272727"/>
      <w:sz w:val="21"/>
    </w:rPr>
  </w:style>
  <w:style w:styleId="Style_18" w:type="paragraph">
    <w:name w:val="toc 3"/>
    <w:next w:val="Style_9"/>
    <w:link w:val="Style_18_ch"/>
    <w:uiPriority w:val="39"/>
    <w:pPr>
      <w:widowControl w:val="0"/>
      <w:ind w:firstLine="0" w:left="400"/>
    </w:pPr>
    <w:rPr>
      <w:rFonts w:ascii="XO Thames" w:hAnsi="XO Thames"/>
      <w:sz w:val="28"/>
    </w:rPr>
  </w:style>
  <w:style w:styleId="Style_18_ch" w:type="character">
    <w:name w:val="toc 3"/>
    <w:link w:val="Style_18"/>
    <w:rPr>
      <w:rFonts w:ascii="XO Thames" w:hAnsi="XO Thames"/>
      <w:sz w:val="28"/>
    </w:rPr>
  </w:style>
  <w:style w:styleId="Style_12" w:type="paragraph">
    <w:name w:val="Основной шрифт абзаца1"/>
    <w:link w:val="Style_12_ch"/>
  </w:style>
  <w:style w:styleId="Style_12_ch" w:type="character">
    <w:name w:val="Основной шрифт абзаца1"/>
    <w:link w:val="Style_12"/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20" w:type="paragraph">
    <w:name w:val="Просмотренная гиперссылка1"/>
    <w:basedOn w:val="Style_12"/>
    <w:link w:val="Style_20_ch"/>
    <w:rPr>
      <w:color w:themeColor="followedHyperlink" w:val="954F72"/>
      <w:u w:val="single"/>
    </w:rPr>
  </w:style>
  <w:style w:styleId="Style_20_ch" w:type="character">
    <w:name w:val="Просмотренная гиперссылка1"/>
    <w:basedOn w:val="Style_12_ch"/>
    <w:link w:val="Style_20"/>
    <w:rPr>
      <w:color w:themeColor="followedHyperlink" w:val="954F72"/>
      <w:u w:val="single"/>
    </w:rPr>
  </w:style>
  <w:style w:styleId="Style_21" w:type="paragraph">
    <w:name w:val="heading 5"/>
    <w:next w:val="Style_9"/>
    <w:link w:val="Style_21_ch"/>
    <w:uiPriority w:val="9"/>
    <w:qFormat/>
    <w:pPr>
      <w:widowControl w:val="0"/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21_ch" w:type="character">
    <w:name w:val="heading 5"/>
    <w:link w:val="Style_21"/>
    <w:rPr>
      <w:rFonts w:ascii="XO Thames" w:hAnsi="XO Thames"/>
      <w:b w:val="1"/>
    </w:rPr>
  </w:style>
  <w:style w:styleId="Style_22" w:type="paragraph">
    <w:name w:val="heading 1"/>
    <w:next w:val="Style_9"/>
    <w:link w:val="Style_22_ch"/>
    <w:uiPriority w:val="9"/>
    <w:qFormat/>
    <w:pPr>
      <w:widowControl w:val="0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2_ch" w:type="character">
    <w:name w:val="heading 1"/>
    <w:link w:val="Style_22"/>
    <w:rPr>
      <w:rFonts w:ascii="XO Thames" w:hAnsi="XO Thames"/>
      <w:b w:val="1"/>
      <w:sz w:val="32"/>
    </w:rPr>
  </w:style>
  <w:style w:styleId="Style_23" w:type="paragraph">
    <w:name w:val="Hyperlink"/>
    <w:link w:val="Style_23_ch"/>
    <w:rPr>
      <w:color w:val="0000FF"/>
      <w:u w:val="single"/>
    </w:rPr>
  </w:style>
  <w:style w:styleId="Style_23_ch" w:type="character">
    <w:name w:val="Hyperlink"/>
    <w:link w:val="Style_23"/>
    <w:rPr>
      <w:color w:val="0000FF"/>
      <w:u w:val="single"/>
    </w:rPr>
  </w:style>
  <w:style w:styleId="Style_24" w:type="paragraph">
    <w:name w:val="Footnote"/>
    <w:basedOn w:val="Style_9"/>
    <w:link w:val="Style_24_ch"/>
    <w:pPr>
      <w:widowControl w:val="0"/>
      <w:spacing w:after="0" w:line="240" w:lineRule="auto"/>
      <w:ind/>
    </w:pPr>
    <w:rPr>
      <w:sz w:val="20"/>
    </w:rPr>
  </w:style>
  <w:style w:styleId="Style_24_ch" w:type="character">
    <w:name w:val="Footnote"/>
    <w:basedOn w:val="Style_9_ch"/>
    <w:link w:val="Style_24"/>
    <w:rPr>
      <w:sz w:val="20"/>
    </w:rPr>
  </w:style>
  <w:style w:styleId="Style_4" w:type="paragraph">
    <w:name w:val="heading 8"/>
    <w:basedOn w:val="Style_9"/>
    <w:next w:val="Style_9"/>
    <w:link w:val="Style_4_ch"/>
    <w:uiPriority w:val="9"/>
    <w:qFormat/>
    <w:pPr>
      <w:keepNext w:val="1"/>
      <w:keepLines w:val="1"/>
      <w:widowControl w:val="0"/>
      <w:spacing w:after="0" w:before="40"/>
      <w:ind/>
      <w:outlineLvl w:val="7"/>
    </w:pPr>
    <w:rPr>
      <w:rFonts w:asciiTheme="majorAscii" w:hAnsiTheme="majorHAnsi"/>
      <w:color w:themeColor="text1" w:themeTint="D8" w:val="272727"/>
      <w:sz w:val="21"/>
    </w:rPr>
  </w:style>
  <w:style w:styleId="Style_4_ch" w:type="character">
    <w:name w:val="heading 8"/>
    <w:basedOn w:val="Style_9_ch"/>
    <w:link w:val="Style_4"/>
    <w:rPr>
      <w:rFonts w:asciiTheme="majorAscii" w:hAnsiTheme="majorHAnsi"/>
      <w:color w:themeColor="text1" w:themeTint="D8" w:val="272727"/>
      <w:sz w:val="21"/>
    </w:rPr>
  </w:style>
  <w:style w:styleId="Style_25" w:type="paragraph">
    <w:name w:val="toc 1"/>
    <w:next w:val="Style_9"/>
    <w:link w:val="Style_25_ch"/>
    <w:uiPriority w:val="39"/>
    <w:rPr>
      <w:rFonts w:ascii="XO Thames" w:hAnsi="XO Thames"/>
      <w:b w:val="1"/>
      <w:sz w:val="28"/>
    </w:rPr>
  </w:style>
  <w:style w:styleId="Style_25_ch" w:type="character">
    <w:name w:val="toc 1"/>
    <w:link w:val="Style_25"/>
    <w:rPr>
      <w:rFonts w:ascii="XO Thames" w:hAnsi="XO Thames"/>
      <w:b w:val="1"/>
      <w:sz w:val="28"/>
    </w:rPr>
  </w:style>
  <w:style w:styleId="Style_26" w:type="paragraph">
    <w:name w:val="Header and Footer"/>
    <w:link w:val="Style_26_ch"/>
    <w:pPr>
      <w:widowControl w:val="0"/>
      <w:spacing w:line="240" w:lineRule="auto"/>
      <w:ind/>
      <w:jc w:val="both"/>
    </w:pPr>
    <w:rPr>
      <w:rFonts w:ascii="XO Thames" w:hAnsi="XO Thames"/>
      <w:sz w:val="28"/>
    </w:rPr>
  </w:style>
  <w:style w:styleId="Style_26_ch" w:type="character">
    <w:name w:val="Header and Footer"/>
    <w:link w:val="Style_26"/>
    <w:rPr>
      <w:rFonts w:ascii="XO Thames" w:hAnsi="XO Thames"/>
      <w:sz w:val="28"/>
    </w:rPr>
  </w:style>
  <w:style w:styleId="Style_27" w:type="paragraph">
    <w:name w:val="toc 9"/>
    <w:next w:val="Style_9"/>
    <w:link w:val="Style_27_ch"/>
    <w:uiPriority w:val="39"/>
    <w:pPr>
      <w:widowControl w:val="0"/>
      <w:ind w:firstLine="0" w:left="1600"/>
    </w:pPr>
    <w:rPr>
      <w:rFonts w:ascii="XO Thames" w:hAnsi="XO Thames"/>
      <w:sz w:val="28"/>
    </w:rPr>
  </w:style>
  <w:style w:styleId="Style_27_ch" w:type="character">
    <w:name w:val="toc 9"/>
    <w:link w:val="Style_27"/>
    <w:rPr>
      <w:rFonts w:ascii="XO Thames" w:hAnsi="XO Thames"/>
      <w:sz w:val="28"/>
    </w:rPr>
  </w:style>
  <w:style w:styleId="Style_3" w:type="paragraph">
    <w:name w:val="Гиперссылка1"/>
    <w:basedOn w:val="Style_12"/>
    <w:link w:val="Style_3_ch"/>
    <w:rPr>
      <w:color w:themeColor="hyperlink" w:val="0563C1"/>
      <w:u w:val="single"/>
    </w:rPr>
  </w:style>
  <w:style w:styleId="Style_3_ch" w:type="character">
    <w:name w:val="Гиперссылка1"/>
    <w:basedOn w:val="Style_12_ch"/>
    <w:link w:val="Style_3"/>
    <w:rPr>
      <w:color w:themeColor="hyperlink" w:val="0563C1"/>
      <w:u w:val="single"/>
    </w:rPr>
  </w:style>
  <w:style w:styleId="Style_28" w:type="paragraph">
    <w:name w:val="Обычный1"/>
    <w:link w:val="Style_28_ch"/>
    <w:rPr>
      <w:rFonts w:ascii="Calibri" w:hAnsi="Calibri"/>
    </w:rPr>
  </w:style>
  <w:style w:styleId="Style_28_ch" w:type="character">
    <w:name w:val="Обычный1"/>
    <w:link w:val="Style_28"/>
    <w:rPr>
      <w:rFonts w:ascii="Calibri" w:hAnsi="Calibri"/>
    </w:rPr>
  </w:style>
  <w:style w:styleId="Style_2" w:type="paragraph">
    <w:name w:val="List Paragraph"/>
    <w:basedOn w:val="Style_9"/>
    <w:link w:val="Style_2_ch"/>
    <w:pPr>
      <w:widowControl w:val="0"/>
      <w:ind w:firstLine="0" w:left="720"/>
      <w:contextualSpacing w:val="1"/>
    </w:pPr>
  </w:style>
  <w:style w:styleId="Style_2_ch" w:type="character">
    <w:name w:val="List Paragraph"/>
    <w:basedOn w:val="Style_9_ch"/>
    <w:link w:val="Style_2"/>
  </w:style>
  <w:style w:styleId="Style_29" w:type="paragraph">
    <w:name w:val="toc 8"/>
    <w:next w:val="Style_9"/>
    <w:link w:val="Style_29_ch"/>
    <w:uiPriority w:val="39"/>
    <w:pPr>
      <w:widowControl w:val="0"/>
      <w:ind w:firstLine="0" w:left="1400"/>
    </w:pPr>
    <w:rPr>
      <w:rFonts w:ascii="XO Thames" w:hAnsi="XO Thames"/>
      <w:sz w:val="28"/>
    </w:rPr>
  </w:style>
  <w:style w:styleId="Style_29_ch" w:type="character">
    <w:name w:val="toc 8"/>
    <w:link w:val="Style_29"/>
    <w:rPr>
      <w:rFonts w:ascii="XO Thames" w:hAnsi="XO Thames"/>
      <w:sz w:val="28"/>
    </w:rPr>
  </w:style>
  <w:style w:styleId="Style_30" w:type="paragraph">
    <w:name w:val="toc 5"/>
    <w:next w:val="Style_9"/>
    <w:link w:val="Style_30_ch"/>
    <w:uiPriority w:val="39"/>
    <w:pPr>
      <w:widowControl w:val="0"/>
      <w:ind w:firstLine="0" w:left="800"/>
    </w:pPr>
    <w:rPr>
      <w:rFonts w:ascii="XO Thames" w:hAnsi="XO Thames"/>
      <w:sz w:val="28"/>
    </w:rPr>
  </w:style>
  <w:style w:styleId="Style_30_ch" w:type="character">
    <w:name w:val="toc 5"/>
    <w:link w:val="Style_30"/>
    <w:rPr>
      <w:rFonts w:ascii="XO Thames" w:hAnsi="XO Thames"/>
      <w:sz w:val="28"/>
    </w:rPr>
  </w:style>
  <w:style w:styleId="Style_31" w:type="paragraph">
    <w:name w:val="header"/>
    <w:basedOn w:val="Style_9"/>
    <w:link w:val="Style_31_ch"/>
    <w:pPr>
      <w:widowControl w:val="0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1_ch" w:type="character">
    <w:name w:val="header"/>
    <w:basedOn w:val="Style_9_ch"/>
    <w:link w:val="Style_31"/>
  </w:style>
  <w:style w:styleId="Style_32" w:type="paragraph">
    <w:name w:val="Subtitle"/>
    <w:next w:val="Style_9"/>
    <w:link w:val="Style_32_ch"/>
    <w:uiPriority w:val="11"/>
    <w:qFormat/>
    <w:pPr>
      <w:widowControl w:val="0"/>
      <w:ind/>
      <w:jc w:val="both"/>
    </w:pPr>
    <w:rPr>
      <w:rFonts w:ascii="XO Thames" w:hAnsi="XO Thames"/>
      <w:i w:val="1"/>
      <w:sz w:val="24"/>
    </w:rPr>
  </w:style>
  <w:style w:styleId="Style_32_ch" w:type="character">
    <w:name w:val="Subtitle"/>
    <w:link w:val="Style_32"/>
    <w:rPr>
      <w:rFonts w:ascii="XO Thames" w:hAnsi="XO Thames"/>
      <w:i w:val="1"/>
      <w:sz w:val="24"/>
    </w:rPr>
  </w:style>
  <w:style w:styleId="Style_33" w:type="paragraph">
    <w:name w:val="Title"/>
    <w:next w:val="Style_9"/>
    <w:link w:val="Style_33_ch"/>
    <w:uiPriority w:val="10"/>
    <w:qFormat/>
    <w:pPr>
      <w:widowControl w:val="0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3_ch" w:type="character">
    <w:name w:val="Title"/>
    <w:link w:val="Style_33"/>
    <w:rPr>
      <w:rFonts w:ascii="XO Thames" w:hAnsi="XO Thames"/>
      <w:b w:val="1"/>
      <w:caps w:val="1"/>
      <w:sz w:val="40"/>
    </w:rPr>
  </w:style>
  <w:style w:styleId="Style_34" w:type="paragraph">
    <w:name w:val="heading 4"/>
    <w:next w:val="Style_9"/>
    <w:link w:val="Style_34_ch"/>
    <w:uiPriority w:val="9"/>
    <w:qFormat/>
    <w:pPr>
      <w:widowControl w:val="0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4_ch" w:type="character">
    <w:name w:val="heading 4"/>
    <w:link w:val="Style_34"/>
    <w:rPr>
      <w:rFonts w:ascii="XO Thames" w:hAnsi="XO Thames"/>
      <w:b w:val="1"/>
      <w:sz w:val="24"/>
    </w:rPr>
  </w:style>
  <w:style w:styleId="Style_1" w:type="paragraph">
    <w:name w:val="footer"/>
    <w:basedOn w:val="Style_9"/>
    <w:link w:val="Style_1_ch"/>
    <w:pPr>
      <w:widowControl w:val="0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9_ch"/>
    <w:link w:val="Style_1"/>
  </w:style>
  <w:style w:styleId="Style_8" w:type="paragraph">
    <w:name w:val="heading 2"/>
    <w:basedOn w:val="Style_9"/>
    <w:next w:val="Style_9"/>
    <w:link w:val="Style_8_ch"/>
    <w:uiPriority w:val="9"/>
    <w:qFormat/>
    <w:pPr>
      <w:keepNext w:val="1"/>
      <w:keepLines w:val="1"/>
      <w:widowControl w:val="0"/>
      <w:spacing w:after="0" w:before="40"/>
      <w:ind/>
      <w:outlineLvl w:val="1"/>
    </w:pPr>
    <w:rPr>
      <w:color w:val="2E75B5"/>
      <w:sz w:val="26"/>
    </w:rPr>
  </w:style>
  <w:style w:styleId="Style_8_ch" w:type="character">
    <w:name w:val="heading 2"/>
    <w:basedOn w:val="Style_9_ch"/>
    <w:link w:val="Style_8"/>
    <w:rPr>
      <w:color w:val="2E75B5"/>
      <w:sz w:val="26"/>
    </w:rPr>
  </w:style>
  <w:style w:styleId="Style_7" w:type="table">
    <w:name w:val="Table Grid"/>
    <w:basedOn w:val="Style_35"/>
    <w:pPr>
      <w:widowControl w:val="0"/>
      <w:spacing w:after="0" w:line="240" w:lineRule="auto"/>
      <w:ind/>
    </w:pPr>
    <w:rPr>
      <w:rFonts w:ascii="Calibri" w:hAnsi="Calibri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footer1.xml" Type="http://schemas.openxmlformats.org/officeDocument/2006/relationships/footer"/>
  <Relationship Id="rId10" Target="numbering.xml" Type="http://schemas.openxmlformats.org/officeDocument/2006/relationships/numbering"/>
  <Relationship Id="rId2" Target="media/1.png" Type="http://schemas.openxmlformats.org/officeDocument/2006/relationships/image"/>
  <Relationship Id="rId3" Target="media/2.pn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MyOffice-CoreFramework-Linux/37-1367.1091.10011.1001.1@92c86c4fc59398dd64f1786b019b76a317813c64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2025-08-19T01:38:31Z</dcterms:created>
  <dcterms:modified xsi:type="dcterms:W3CDTF">2025-08-20T03:22:33Z</dcterms:modified>
</cp:coreProperties>
</file>